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方正小标宋简体" w:hAnsi="方正小标宋简体" w:eastAsia="方正小标宋简体" w:cs="方正小标宋简体"/>
          <w:i w:val="0"/>
          <w:iCs w:val="0"/>
          <w:color w:val="auto"/>
          <w:sz w:val="44"/>
          <w:szCs w:val="44"/>
          <w:highlight w:val="none"/>
          <w:u w:val="none"/>
          <w:lang w:val="en-US" w:eastAsia="zh-CN"/>
        </w:rPr>
      </w:pPr>
      <w:r>
        <w:rPr>
          <w:rFonts w:hint="eastAsia" w:ascii="黑体" w:hAnsi="黑体" w:eastAsia="黑体" w:cs="黑体"/>
          <w:i w:val="0"/>
          <w:iCs w:val="0"/>
          <w:color w:val="auto"/>
          <w:sz w:val="36"/>
          <w:szCs w:val="36"/>
          <w:highlight w:val="none"/>
          <w:u w:val="none"/>
          <w:lang w:val="en-US" w:eastAsia="zh-CN"/>
        </w:rPr>
        <w:t>燃气管理领域信用分级分类评价内容</w:t>
      </w:r>
    </w:p>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方正小标宋简体" w:hAnsi="方正小标宋简体" w:eastAsia="方正小标宋简体" w:cs="方正小标宋简体"/>
          <w:i w:val="0"/>
          <w:iCs w:val="0"/>
          <w:color w:val="auto"/>
          <w:sz w:val="32"/>
          <w:szCs w:val="32"/>
          <w:highlight w:val="none"/>
          <w:u w:val="none"/>
          <w:lang w:val="en-US" w:eastAsia="zh-CN"/>
        </w:rPr>
      </w:pPr>
    </w:p>
    <w:tbl>
      <w:tblPr>
        <w:tblStyle w:val="2"/>
        <w:tblW w:w="103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39"/>
        <w:gridCol w:w="645"/>
        <w:gridCol w:w="1779"/>
        <w:gridCol w:w="1641"/>
        <w:gridCol w:w="780"/>
        <w:gridCol w:w="2865"/>
        <w:gridCol w:w="1140"/>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blHeader/>
        </w:trPr>
        <w:tc>
          <w:tcPr>
            <w:tcW w:w="639"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both"/>
              <w:textAlignment w:val="center"/>
              <w:rPr>
                <w:rFonts w:hint="eastAsia" w:ascii="黑体" w:hAnsi="黑体" w:eastAsia="黑体" w:cs="黑体"/>
                <w:i w:val="0"/>
                <w:iCs w:val="0"/>
                <w:color w:val="auto"/>
                <w:sz w:val="21"/>
                <w:szCs w:val="21"/>
                <w:highlight w:val="none"/>
                <w:u w:val="none"/>
              </w:rPr>
            </w:pPr>
          </w:p>
        </w:tc>
        <w:tc>
          <w:tcPr>
            <w:tcW w:w="645"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黑体" w:hAnsi="黑体" w:eastAsia="黑体" w:cs="黑体"/>
                <w:i w:val="0"/>
                <w:iCs w:val="0"/>
                <w:color w:val="auto"/>
                <w:sz w:val="21"/>
                <w:szCs w:val="21"/>
                <w:highlight w:val="none"/>
                <w:u w:val="none"/>
              </w:rPr>
            </w:pPr>
            <w:r>
              <w:rPr>
                <w:rFonts w:hint="eastAsia" w:ascii="黑体" w:hAnsi="黑体" w:eastAsia="黑体" w:cs="黑体"/>
                <w:i w:val="0"/>
                <w:iCs w:val="0"/>
                <w:snapToGrid/>
                <w:color w:val="auto"/>
                <w:kern w:val="0"/>
                <w:sz w:val="21"/>
                <w:szCs w:val="21"/>
                <w:highlight w:val="none"/>
                <w:u w:val="none"/>
                <w:lang w:val="en-US" w:eastAsia="zh-CN" w:bidi="ar"/>
              </w:rPr>
              <w:t>序号</w:t>
            </w:r>
          </w:p>
        </w:tc>
        <w:tc>
          <w:tcPr>
            <w:tcW w:w="1779"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黑体" w:hAnsi="黑体" w:eastAsia="黑体" w:cs="黑体"/>
                <w:i w:val="0"/>
                <w:iCs w:val="0"/>
                <w:color w:val="auto"/>
                <w:sz w:val="21"/>
                <w:szCs w:val="21"/>
                <w:highlight w:val="none"/>
                <w:u w:val="none"/>
              </w:rPr>
            </w:pPr>
            <w:r>
              <w:rPr>
                <w:rFonts w:hint="eastAsia" w:ascii="黑体" w:hAnsi="黑体" w:eastAsia="黑体" w:cs="黑体"/>
                <w:i w:val="0"/>
                <w:iCs w:val="0"/>
                <w:snapToGrid/>
                <w:color w:val="auto"/>
                <w:kern w:val="0"/>
                <w:sz w:val="21"/>
                <w:szCs w:val="21"/>
                <w:highlight w:val="none"/>
                <w:u w:val="none"/>
                <w:lang w:val="en-US" w:eastAsia="zh-CN" w:bidi="ar"/>
              </w:rPr>
              <w:t>检查事项</w:t>
            </w:r>
          </w:p>
        </w:tc>
        <w:tc>
          <w:tcPr>
            <w:tcW w:w="1641"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黑体" w:hAnsi="黑体" w:eastAsia="黑体" w:cs="黑体"/>
                <w:i w:val="0"/>
                <w:iCs w:val="0"/>
                <w:snapToGrid/>
                <w:color w:val="auto"/>
                <w:kern w:val="0"/>
                <w:sz w:val="21"/>
                <w:szCs w:val="21"/>
                <w:highlight w:val="none"/>
                <w:u w:val="none"/>
                <w:lang w:val="en-US" w:eastAsia="zh-CN" w:bidi="ar"/>
              </w:rPr>
            </w:pPr>
            <w:r>
              <w:rPr>
                <w:rFonts w:hint="eastAsia" w:ascii="黑体" w:hAnsi="黑体" w:eastAsia="黑体" w:cs="黑体"/>
                <w:i w:val="0"/>
                <w:iCs w:val="0"/>
                <w:snapToGrid/>
                <w:color w:val="auto"/>
                <w:kern w:val="0"/>
                <w:sz w:val="21"/>
                <w:szCs w:val="21"/>
                <w:highlight w:val="none"/>
                <w:u w:val="none"/>
                <w:lang w:val="en-US" w:eastAsia="zh-CN" w:bidi="ar"/>
              </w:rPr>
              <w:t>检查内容</w:t>
            </w:r>
          </w:p>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黑体" w:hAnsi="黑体" w:eastAsia="黑体" w:cs="黑体"/>
                <w:i w:val="0"/>
                <w:iCs w:val="0"/>
                <w:color w:val="auto"/>
                <w:sz w:val="21"/>
                <w:szCs w:val="21"/>
                <w:highlight w:val="none"/>
                <w:u w:val="none"/>
              </w:rPr>
            </w:pPr>
            <w:r>
              <w:rPr>
                <w:rFonts w:hint="eastAsia" w:ascii="黑体" w:hAnsi="黑体" w:eastAsia="黑体" w:cs="黑体"/>
                <w:i w:val="0"/>
                <w:iCs w:val="0"/>
                <w:snapToGrid/>
                <w:color w:val="auto"/>
                <w:kern w:val="0"/>
                <w:sz w:val="21"/>
                <w:szCs w:val="21"/>
                <w:highlight w:val="none"/>
                <w:u w:val="none"/>
                <w:lang w:val="en-US" w:eastAsia="zh-CN" w:bidi="ar"/>
              </w:rPr>
              <w:t>（隐患识别）</w:t>
            </w:r>
          </w:p>
        </w:tc>
        <w:tc>
          <w:tcPr>
            <w:tcW w:w="780"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default" w:ascii="黑体" w:hAnsi="黑体" w:eastAsia="黑体" w:cs="黑体"/>
                <w:i w:val="0"/>
                <w:iCs w:val="0"/>
                <w:color w:val="auto"/>
                <w:sz w:val="21"/>
                <w:szCs w:val="21"/>
                <w:highlight w:val="none"/>
                <w:u w:val="none"/>
                <w:lang w:val="en-US"/>
              </w:rPr>
            </w:pPr>
            <w:r>
              <w:rPr>
                <w:rFonts w:hint="eastAsia" w:ascii="黑体" w:hAnsi="黑体" w:eastAsia="黑体" w:cs="黑体"/>
                <w:i w:val="0"/>
                <w:iCs w:val="0"/>
                <w:snapToGrid/>
                <w:color w:val="auto"/>
                <w:kern w:val="0"/>
                <w:sz w:val="21"/>
                <w:szCs w:val="21"/>
                <w:highlight w:val="none"/>
                <w:u w:val="none"/>
                <w:lang w:val="en-US" w:eastAsia="zh-CN" w:bidi="ar"/>
              </w:rPr>
              <w:t>规定分值</w:t>
            </w:r>
          </w:p>
        </w:tc>
        <w:tc>
          <w:tcPr>
            <w:tcW w:w="2865"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黑体" w:hAnsi="黑体" w:eastAsia="黑体" w:cs="黑体"/>
                <w:i w:val="0"/>
                <w:iCs w:val="0"/>
                <w:color w:val="auto"/>
                <w:sz w:val="21"/>
                <w:szCs w:val="21"/>
                <w:highlight w:val="none"/>
                <w:u w:val="none"/>
              </w:rPr>
            </w:pPr>
            <w:r>
              <w:rPr>
                <w:rFonts w:hint="eastAsia" w:ascii="黑体" w:hAnsi="黑体" w:eastAsia="黑体" w:cs="黑体"/>
                <w:i w:val="0"/>
                <w:iCs w:val="0"/>
                <w:snapToGrid/>
                <w:color w:val="auto"/>
                <w:kern w:val="0"/>
                <w:sz w:val="21"/>
                <w:szCs w:val="21"/>
                <w:highlight w:val="none"/>
                <w:u w:val="none"/>
                <w:lang w:val="en-US" w:eastAsia="zh-CN" w:bidi="ar"/>
              </w:rPr>
              <w:t>相关法律或规范依据</w:t>
            </w:r>
          </w:p>
        </w:tc>
        <w:tc>
          <w:tcPr>
            <w:tcW w:w="2040" w:type="dxa"/>
            <w:gridSpan w:val="2"/>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黑体" w:hAnsi="黑体" w:eastAsia="黑体" w:cs="黑体"/>
                <w:i w:val="0"/>
                <w:iCs w:val="0"/>
                <w:color w:val="auto"/>
                <w:sz w:val="21"/>
                <w:szCs w:val="21"/>
                <w:highlight w:val="none"/>
                <w:u w:val="none"/>
              </w:rPr>
            </w:pPr>
            <w:r>
              <w:rPr>
                <w:rFonts w:hint="eastAsia" w:ascii="黑体" w:hAnsi="黑体" w:eastAsia="黑体" w:cs="黑体"/>
                <w:i w:val="0"/>
                <w:iCs w:val="0"/>
                <w:snapToGrid/>
                <w:color w:val="auto"/>
                <w:kern w:val="0"/>
                <w:sz w:val="21"/>
                <w:szCs w:val="21"/>
                <w:highlight w:val="none"/>
                <w:u w:val="none"/>
                <w:lang w:val="en-US" w:eastAsia="zh-CN" w:bidi="ar"/>
              </w:rPr>
              <w:t>检查结果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639"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pacing w:after="0" w:afterLines="0" w:line="240" w:lineRule="auto"/>
              <w:jc w:val="both"/>
              <w:rPr>
                <w:rFonts w:hint="eastAsia" w:ascii="黑体" w:hAnsi="黑体" w:eastAsia="黑体" w:cs="黑体"/>
                <w:i w:val="0"/>
                <w:iCs w:val="0"/>
                <w:color w:val="auto"/>
                <w:sz w:val="21"/>
                <w:szCs w:val="21"/>
                <w:highlight w:val="none"/>
                <w:u w:val="none"/>
              </w:rPr>
            </w:pPr>
          </w:p>
        </w:tc>
        <w:tc>
          <w:tcPr>
            <w:tcW w:w="645"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pacing w:after="0" w:afterLines="0" w:line="240" w:lineRule="auto"/>
              <w:jc w:val="center"/>
              <w:rPr>
                <w:rFonts w:hint="eastAsia" w:ascii="黑体" w:hAnsi="黑体" w:eastAsia="黑体" w:cs="黑体"/>
                <w:i w:val="0"/>
                <w:iCs w:val="0"/>
                <w:color w:val="auto"/>
                <w:sz w:val="21"/>
                <w:szCs w:val="21"/>
                <w:highlight w:val="none"/>
                <w:u w:val="none"/>
              </w:rPr>
            </w:pPr>
          </w:p>
        </w:tc>
        <w:tc>
          <w:tcPr>
            <w:tcW w:w="1779"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pacing w:after="0" w:afterLines="0" w:line="240" w:lineRule="auto"/>
              <w:jc w:val="both"/>
              <w:rPr>
                <w:rFonts w:hint="eastAsia" w:ascii="黑体" w:hAnsi="黑体" w:eastAsia="黑体" w:cs="黑体"/>
                <w:i w:val="0"/>
                <w:iCs w:val="0"/>
                <w:color w:val="auto"/>
                <w:sz w:val="21"/>
                <w:szCs w:val="21"/>
                <w:highlight w:val="none"/>
                <w:u w:val="none"/>
              </w:rPr>
            </w:pPr>
          </w:p>
        </w:tc>
        <w:tc>
          <w:tcPr>
            <w:tcW w:w="1641"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pacing w:after="0" w:afterLines="0" w:line="240" w:lineRule="auto"/>
              <w:jc w:val="center"/>
              <w:rPr>
                <w:rFonts w:hint="eastAsia" w:ascii="黑体" w:hAnsi="黑体" w:eastAsia="黑体" w:cs="黑体"/>
                <w:i w:val="0"/>
                <w:iCs w:val="0"/>
                <w:color w:val="auto"/>
                <w:sz w:val="21"/>
                <w:szCs w:val="21"/>
                <w:highlight w:val="none"/>
                <w:u w:val="none"/>
              </w:rPr>
            </w:pPr>
          </w:p>
        </w:tc>
        <w:tc>
          <w:tcPr>
            <w:tcW w:w="780"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pacing w:after="0" w:afterLines="0" w:line="240" w:lineRule="auto"/>
              <w:jc w:val="center"/>
              <w:rPr>
                <w:rFonts w:hint="eastAsia" w:ascii="黑体" w:hAnsi="黑体" w:eastAsia="黑体" w:cs="黑体"/>
                <w:i w:val="0"/>
                <w:iCs w:val="0"/>
                <w:color w:val="auto"/>
                <w:sz w:val="21"/>
                <w:szCs w:val="21"/>
                <w:highlight w:val="none"/>
                <w:u w:val="none"/>
              </w:rPr>
            </w:pPr>
          </w:p>
        </w:tc>
        <w:tc>
          <w:tcPr>
            <w:tcW w:w="2865"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pacing w:after="0" w:afterLines="0" w:line="240" w:lineRule="auto"/>
              <w:jc w:val="both"/>
              <w:rPr>
                <w:rFonts w:hint="eastAsia" w:ascii="黑体" w:hAnsi="黑体" w:eastAsia="黑体" w:cs="黑体"/>
                <w:i w:val="0"/>
                <w:iCs w:val="0"/>
                <w:color w:val="auto"/>
                <w:sz w:val="21"/>
                <w:szCs w:val="21"/>
                <w:highlight w:val="none"/>
                <w:u w:val="none"/>
              </w:rPr>
            </w:pP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黑体" w:hAnsi="黑体" w:eastAsia="黑体" w:cs="黑体"/>
                <w:i w:val="0"/>
                <w:iCs w:val="0"/>
                <w:color w:val="auto"/>
                <w:sz w:val="21"/>
                <w:szCs w:val="21"/>
                <w:highlight w:val="none"/>
                <w:u w:val="none"/>
              </w:rPr>
            </w:pPr>
            <w:r>
              <w:rPr>
                <w:rFonts w:hint="eastAsia" w:ascii="黑体" w:hAnsi="黑体" w:eastAsia="黑体" w:cs="黑体"/>
                <w:i w:val="0"/>
                <w:iCs w:val="0"/>
                <w:snapToGrid/>
                <w:color w:val="auto"/>
                <w:kern w:val="0"/>
                <w:sz w:val="21"/>
                <w:szCs w:val="21"/>
                <w:highlight w:val="none"/>
                <w:u w:val="none"/>
                <w:lang w:val="en-US" w:eastAsia="zh-CN" w:bidi="ar"/>
              </w:rPr>
              <w:t>符合</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黑体" w:hAnsi="黑体" w:eastAsia="黑体" w:cs="黑体"/>
                <w:i w:val="0"/>
                <w:iCs w:val="0"/>
                <w:color w:val="auto"/>
                <w:sz w:val="21"/>
                <w:szCs w:val="21"/>
                <w:highlight w:val="none"/>
                <w:u w:val="none"/>
              </w:rPr>
            </w:pPr>
            <w:r>
              <w:rPr>
                <w:rFonts w:hint="eastAsia" w:ascii="黑体" w:hAnsi="黑体" w:eastAsia="黑体" w:cs="黑体"/>
                <w:i w:val="0"/>
                <w:iCs w:val="0"/>
                <w:snapToGrid/>
                <w:color w:val="auto"/>
                <w:kern w:val="0"/>
                <w:sz w:val="21"/>
                <w:szCs w:val="21"/>
                <w:highlight w:val="none"/>
                <w:u w:val="none"/>
                <w:lang w:val="en-US" w:eastAsia="zh-CN" w:bidi="ar"/>
              </w:rPr>
              <w:t>不符合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39"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管道燃气经营企业</w:t>
            </w: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1</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★未取得燃气经营许可证从事燃气经营活动</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检查证件及是否在有效期内</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3</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《城镇燃气经营安全重大隐患判定标准》《城镇燃气管理条例》第四十五条</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2</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★未建立安全风险分级管控制度</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查阅制度及签发单</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2</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《城镇燃气经营安全重大隐患判定标准》《中华人民共和国安全生产法》第一百零一条</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3</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★未建立事故隐患排查治理制度</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查阅制度及签发单</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2</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《城镇燃气经营安全重大隐患判定标准》《中华人民共和国安全生产法》第一百零一条</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4</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★未制定生产安全事故应急救援预案</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查阅应急救援预案备案回执</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4</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《城镇燃气经营安全重大隐患判定标准》《中华人民共和国安全生产法》第九十七条</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5</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★未建立对燃气用户燃气设施的定期安全检查制度，未对餐饮企业等用户进行户内燃气设施定期安全检查</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查阅制度、入户安检台账</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4</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《城镇燃气经营安全重大隐患判定标准》《城镇燃气管理条例》第四十六条、《内蒙古自治区城镇燃气安全专项整治实施方案》</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6</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★燃气经营者供应不具有标准要求警示性臭味燃气</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查阅最近一次用户端加臭量检测记录（四氢噻吩≥8㎎/m</w:t>
            </w:r>
            <w:r>
              <w:rPr>
                <w:rFonts w:hint="eastAsia" w:ascii="仿宋_GB2312" w:hAnsi="仿宋_GB2312" w:eastAsia="仿宋_GB2312" w:cs="仿宋_GB2312"/>
                <w:i w:val="0"/>
                <w:iCs w:val="0"/>
                <w:snapToGrid/>
                <w:color w:val="auto"/>
                <w:kern w:val="0"/>
                <w:sz w:val="21"/>
                <w:szCs w:val="21"/>
                <w:highlight w:val="none"/>
                <w:u w:val="none"/>
                <w:vertAlign w:val="superscript"/>
                <w:lang w:val="en-US" w:eastAsia="zh-CN" w:bidi="ar"/>
              </w:rPr>
              <w:t>3</w:t>
            </w:r>
            <w:r>
              <w:rPr>
                <w:rFonts w:hint="eastAsia" w:ascii="仿宋_GB2312" w:hAnsi="仿宋_GB2312" w:eastAsia="仿宋_GB2312" w:cs="仿宋_GB2312"/>
                <w:i w:val="0"/>
                <w:iCs w:val="0"/>
                <w:snapToGrid/>
                <w:color w:val="auto"/>
                <w:kern w:val="0"/>
                <w:sz w:val="21"/>
                <w:szCs w:val="21"/>
                <w:highlight w:val="none"/>
                <w:u w:val="none"/>
                <w:lang w:val="en-US" w:eastAsia="zh-CN" w:bidi="ar"/>
              </w:rPr>
              <w:t>）</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4</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《城镇燃气经营安全重大隐患判定标准》《燃气工程项目规范》第3.0.7条</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7</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★在中压及以上地下燃气管线保护范围内，建有占压管线的建筑物、构筑物或者其他设施</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查阅整改台账、抽查整改现场</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4</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《城镇燃气经营安全重大隐患判定标准》《城镇燃气管理条例》第五十条</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8</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★除确需穿过且已采取有效防护措施外，输配管道在排水管（沟）、供水管渠、热力管沟、电缆沟、城市交通隧道、城市轨道交通隧道和地下人行通道等地下构筑物内敷设</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查阅整改台账、抽查整改现场</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4</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《城镇燃气经营安全重大隐患判定标准》《燃气工程项目规范》第5.1.16条</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9</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★调压装置未设置防止燃气出口压力超过下游压力允许值的安全保护措施</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现场检查调压装置（有放散管、阀合格）</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4</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《城镇燃气经营安全重大隐患判定标准》《燃气工程项目规范》第4.2.18条</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10</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★燃气储罐未设置压力、罐容或液位显示等监测装置，或不具有超限报警功能</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厂站现场检查、查看系统功能</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4</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《城镇燃气经营安全重大隐患判定标准》《燃气工程项目规范》第4.3.2条</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11</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★燃气厂站内设备和管道未设置防止系统压力参数超过限值的自动切断和放散装置</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厂站现场检查</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4</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《城镇燃气经营安全重大隐患判定标准》《燃气工程项目规范》第4.2.5条</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12</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★压缩天然气、液化天然气装卸系统未设置防止装卸用管拉脱的联锁保护装置</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厂站现场检查</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4</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《城镇燃气经营安全重大隐患判定标准》《燃气工程项目规范》第4.2.8条</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13</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★燃气厂站内设置在有爆炸危险环境的电气、仪表装置具有与该区域爆炸危险等级相对应的防爆性能</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厂站现场检查（含电源线路）</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4</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《城镇燃气经营安全重大隐患判定标准》《燃气工程项目规范》第4.2.18条</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14</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★燃气厂站内可燃气体泄漏浓度可能达到爆炸下限20%的燃气设施区域内或建（构）筑物内，未设置固定式可燃气体浓度报警装置</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厂站现场检查</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4</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《城镇燃气经营安全重大隐患判定标准》《燃气工程项目规范》第4.2.17条</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15</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★燃气经营者在对燃气用户进行安全检查时，发现燃气引入管、立管、水平干管设置在卫生间内，不按规定采取书面告知用户整改等措施</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查阅入户安检记录，结合入户抽查综合判定</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4</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《城镇燃气经营安全重大隐患判定标准》《燃气工程项目规范》第5.3.4条</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16</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★燃气经营者在对燃气用户进行安全检查时，发现燃气管道及附件、燃具设置在卧室、旅馆建筑客房等人员居住和休息的房间内，不按规定采取书面告知用户整改等措施</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查阅入户安检记录，结合入户抽查综合判定</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5</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《城镇燃气经营安全重大隐患判定标准》《燃气工程项目规范》第5.3.3条</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17</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★燃气经营者在对燃气用户进行安全检查时，发现使用国家明令淘汰的燃气燃烧器具、连接管，不按规定采取书面告知用户整改等措施</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查阅入户安检记录，结合入户抽查综合判定</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5</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《城镇燃气经营安全重大隐患判定标准》《城镇燃气管理条例》第二十七条</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18</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★发现其他严重违反城镇燃气经营法律法规及标准规范，且存在危害程度较大、可能导致群死群伤或造成重大经济损失的现实危险</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现场抽查</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5</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《城镇燃气经营安全重大隐患判定标准》</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19</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未按规定对其供气范围内的管道进行巡查维护</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根据安全风险分级管控制度，查阅巡检制度，查看巡查测漏记录</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5</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《全区住房城乡建设系统安全生产治本攻坚三年行动方案(2024-2026年)》《内蒙古自治区城市燃气管道“带病运行”问题专项整治实施方案》</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20</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未告知用户不得擅自改装户内燃气设施、不得在同一房间内使用两种及以上气源等安全用气要求</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查阅入户安检记录，结合入户抽查综合判定</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5</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《全区住房城乡建设系统安全生产治本攻坚三年行动方案(2024-2026年)》《内蒙古自治区城市燃气管道“带病运行”问题专项整治实施方案》</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21</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对超设计运行年限、安全间距不足、安全设施不健全、临近人员密集区域、地质灾害风险隐患大等不满足安全要求的厂站设施，逐个建立整治台账</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查阅厂站设施整治台账</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5</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《全区住房城乡建设系统安全生产治本攻坚三年行动方案(2024-2026年)》《内蒙古自治区城市燃气管道“带病运行”问题专项整治实施方案》</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22</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燃气阀井及相邻管沟、阀井等设施存在燃气泄漏风险</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使用检漏设备抽查</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3</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《全区住房城乡建设系统安全生产治本攻坚三年行动方案(2024-2026年)》《内蒙古自治区城市燃气管道“带病运行”问题专项整治实施方案》</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23</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燃气管道周边建设项目未落实燃气设施保护方案</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抽查在建建设项目</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2</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《全区住房城乡建设系统安全生产治本攻坚三年行动方案(2024-2026年)》《内蒙古自治区城市燃气管道“带病运行”问题专项整治实施方案》</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24</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安全生产管理人员配备数量不足、主要负责人和安全生产管理人员未经专业培训并考核合格</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检查人员证件和数量（占比≥3‰）</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4</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《全区住房城乡建设系统安全生产治本攻坚三年行动方案(2024-2026年)》《内蒙古自治区城市燃气管道“带病运行”问题专项整治实施方案》</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94"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25</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尽快查缺补漏，完善在线监控系统，全面补齐主次管网、厂站等节点的物联智能感知设备，确保“应安尽安”，确保管网运行数据实时监测、厂站运行监测、泄漏监测、日常巡检管理和户内安检等功能正常运行，预警正常有效，及时发现问题、解决问题</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现场查看系统功能（未建立的倒查政府推进计划）</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5</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《全区住房城乡建设系统安全生产治本攻坚三年行动方案(2024-2026年)》《内蒙古自治区城市燃气管道“带病运行”问题专项整治实施方案》</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26</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燃气企业入户安检，要留存照片、检查单等检查记录，建立入户检查台账，协助用户及时整改问题隐患</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查阅入户检查台账、入户抽查</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3</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《全区住房城乡建设系统安全生产治本攻坚三年行动方案(2024-2026年)》《内蒙古自治区城市燃气管道“带病运行”问题专项整治实施方案》</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27</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对入户到访不遇的，建立到访不遇台账，燃气企业应及时告知，一个月内依然联系不上的可采取停气措施</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查阅到访不遇台账</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3</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《全区住房城乡建设系统安全生产治本攻坚三年行动方案(2024-2026年)》《内蒙古自治区城市燃气管道“带病运行”问题专项整治实施方案》</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28</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督促管道天然气企业加大对老城区、老旧小区及老旧管网的巡查维护力度，落实全覆盖巡线检测制度</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查阅管网巡查、维护台账、使用检漏仪抽查</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3</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《全区住房城乡建设系统安全生产治本攻坚三年行动方案(2024-2026年)》《内蒙古自治区城市燃气管道“带病运行”问题专项整治实施方案》</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0"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汽车加气站经营企业</w:t>
            </w: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29</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★未取得燃气经营许可证从事燃气经营活动</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检查证件及是否在有效期内</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6</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《城镇燃气经营安全重大隐患判定标准》《城镇燃气管理条例》第四十五条</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30</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★未建立安全风险分级管控制度</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查阅制度及签发单</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6</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《城镇燃气经营安全重大隐患判定标准》《中华人民共和国安全生产法》第一百零一条</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31"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31</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★未建立事故隐患排查治理制度</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查阅制度及签发单</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5</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《城镇燃气经营安全重大隐患判定标准》《中华人民共和国安全生产法》第一百零一条</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32</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★未制定生产安全事故应急救援预案</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查阅应急救援预案备案回执</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5</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《城镇燃气经营安全重大隐患判定标准》《中华人民共和国安全生产法》第九十七条</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33</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★燃气储罐未设置压力、罐容或液位显示等监测装置，或不具有超限报警功能</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现场检查、查看系统功能</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5</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《城镇燃气经营安全重大隐患判定标准》《燃气工程项目规范》第4.3.2条</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2"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34</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★燃气厂站内设备和管道未设置防止系统压力参数超过限值的自动切断和放散装置</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现场检查调压装置（有放散阀并定期检验标识合格）</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6</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《城镇燃气经营安全重大隐患判定标准》《燃气工程项目规范》第4.2.5条</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35</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★压缩天然气、液化天然气和液化石油气装卸系统未设置防止装卸用管拉脱的联锁保护装置</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现场检查</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5</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《城镇燃气经营安全重大隐患判定标准》《燃气工程项目规范》第4.2.8条</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36</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★燃气厂站内设置在有爆炸危险环境的电气、仪表装置，具有与该区域爆炸危险等级相对应的防爆性能</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现场检查（含电源线路）</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6</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《城镇燃气经营安全重大隐患判定标准》《燃气工程项目规范》第4.2.18条</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36"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37</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★燃气厂站内可燃气体泄漏浓度可能达到爆炸下限20%的燃气设施区域内或建（构）筑物内，未设置固定式可燃气体浓度报警装置</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现场检查</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6</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《城镇燃气经营安全重大隐患判定标准》《燃气工程项目规范》第4.2.17条</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9"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38</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★发现其他严重违反城镇燃气经营法律法规及标准规范，且存在危害程度较大、可能导致群死群伤或造成重大经济损失的现实危险</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抽查</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5</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《城镇燃气经营安全重大隐患判定标准》</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39</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组织对超设计运行年限、安全间距不足、安全设施不健全、临近人员密集区域、地质灾害风险隐患大等不满足安全要求的厂站设施，逐个建立整治台账，限期完成整改</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查阅加气站设施整治台账</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5</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《全区住房城乡建设系统安全生产治本攻坚三年行动方案(2024-2026年)》《内蒙古自治区城市燃气管道“带病运行”问题专项整治实施方案》</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bookmarkStart w:id="0" w:name="_GoBack" w:colFirst="4" w:colLast="4"/>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40</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落实全员安全生产责任制不到位、安全生产管理人员配备数量不足、主要负责人和安全生产管理人员未经专业培训并考核合格</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查阅安全生产责任制度、人员证件（每班组不少于1人）</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5</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《全区住房城乡建设系统安全生产治本攻坚三年行动方案(2024-2026年)》《内蒙古自治区城市燃气管道“带病运行”问题专项整治实施方案》</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41</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燃气经营企业及主要负责人落实安全生产主体责任不到位</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结合其他事项检查情况，作出综合判断</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5</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《全区住房城乡建设系统安全生产治本攻坚三年行动方案(2024-2026年)》《内蒙古自治区城市燃气管道“带病运行”问题专项整治实施方案》</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42</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作业人员情况（抽查作业人员档案、在岗作业人员证件）</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查看是否按规定配备作业人员、安全管理人员。查看是否持证上岗，证件是否在有效期内，作业项目是否与实际作业项目一致，有无雇佣（聘用）单位盖章或法定代表人（授权人）的签字盖章</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5</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《中华人民共和国特种设备安全法》第十四条，《特种设备作业人员监督管理办法》（市场监管总局令第140号）</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2"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43</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建立并落实日管控、周排查、月调度等工作机制情况</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查看是否建立日管控、周排查、月调度等工作机制，是否按要求做好记录</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5</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《特种设备使用单位落实使用安全主体责任监督管理规定》（市场监管总局令第74号）</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44</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安全阀、爆破片等校验、更换情况</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抽查使用的安全阀、爆破片等安全附件的校验报告、铭牌，查看是否在校验有效期内，是否按要求的期限更换</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5</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《中华人民共和国特种设备安全法》第三十九条</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7"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45</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紧急切断系统设置情况</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查看气瓶充装装置，是否按要求装设紧急切断系统</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5</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《固定式压力容器安全技术监察规程》</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77"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46</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已充气气瓶上的信息化标志设置情况</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抽查气瓶，查看信息化标志是否符合相应要求</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5</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《气瓶安全技术规程》</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47</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★充装未登记、超期未检、超过使用年限气瓶、报废气瓶以及使用过的非重复充装气瓶情况</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抽查气瓶，查看其检验日期是否在有效期内，使用年限是否超期，是否重复充装一次性使用的气瓶</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5</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《中华人民共和国特种设备安全法》第四十九条</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管道天然气居民用户检查</w:t>
            </w: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48</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★使用国家明令淘汰的燃气燃烧器具、连接管</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倒查企业台账</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10</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《城镇燃气经营安全重大隐患判定标准》</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49</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★燃气引入管、立管、水平干管设置在卫生间内</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倒查企业台账</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10</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《城镇燃气经营安全重大隐患判定标准》《燃气工程项目规范》第5.3.4条</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50</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★燃气管道及附件、燃具设置在卧室、旅馆建筑客房等人员居住和休息的房间内</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倒查企业台账</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10</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《城镇燃气经营安全重大隐患判定标准》《燃气工程项目规范》第5.3.3条</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11"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51</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★发现其他严重违反城镇燃气经营法律法规及标准规范，且存在危害程度较大、可能导致群死群伤或造成重大经济损失的现实危险</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倒查企业台账</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15</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《城镇燃气经营安全重大隐患判定标准》</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52</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全面消除地下室、半地下室、密闭空间、半密闭空间等不具备通风条件用气场所安全隐患，木质结构房屋一律不得使用燃气</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倒查企业台账</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15</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《内蒙古自治区城镇燃气安全专项整治实施方案》</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53</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连接软管长度超过2米、私接“三通”或穿越墙体、门窗、顶棚和地面</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倒查企业台账</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10</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《全区住房城乡建设系统安全生产治本攻坚三年行动方案(2024-2026年)》《内蒙古自治区城市燃气管道“带病运行”问题专项整治实施方案》</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54</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未规范安装、使用可燃气体探测器及燃气紧急切断阀</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倒查企业台账</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15</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《全区住房城乡建设系统安全生产治本攻坚三年行动方案(2024-2026年)》《内蒙古自治区城市燃气管道“带病运行”问题专项整治实施方案》</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63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55</w:t>
            </w:r>
          </w:p>
        </w:tc>
        <w:tc>
          <w:tcPr>
            <w:tcW w:w="177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使用不符合国家标准或假冒伪劣的可燃气体探测器及燃气紧急切断阀、调压器、连接软管、灶具等燃气具及配件等</w:t>
            </w:r>
          </w:p>
        </w:tc>
        <w:tc>
          <w:tcPr>
            <w:tcW w:w="164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倒查企业台账</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default"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15</w:t>
            </w:r>
          </w:p>
        </w:tc>
        <w:tc>
          <w:tcPr>
            <w:tcW w:w="28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both"/>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r>
              <w:rPr>
                <w:rFonts w:hint="eastAsia" w:ascii="仿宋_GB2312" w:hAnsi="仿宋_GB2312" w:eastAsia="仿宋_GB2312" w:cs="仿宋_GB2312"/>
                <w:i w:val="0"/>
                <w:iCs w:val="0"/>
                <w:snapToGrid/>
                <w:color w:val="auto"/>
                <w:kern w:val="0"/>
                <w:sz w:val="21"/>
                <w:szCs w:val="21"/>
                <w:highlight w:val="none"/>
                <w:u w:val="none"/>
                <w:lang w:val="en-US" w:eastAsia="zh-CN" w:bidi="ar"/>
              </w:rPr>
              <w:t>《全区住房城乡建设系统安全生产治本攻坚三年行动方案(2024-2026年)》《内蒙古自治区城市燃气管道“带病运行”问题专项整治实施方案》</w:t>
            </w:r>
          </w:p>
        </w:tc>
        <w:tc>
          <w:tcPr>
            <w:tcW w:w="114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afterLines="0" w:line="240" w:lineRule="auto"/>
              <w:jc w:val="center"/>
              <w:textAlignment w:val="center"/>
              <w:rPr>
                <w:rFonts w:hint="eastAsia" w:ascii="仿宋_GB2312" w:hAnsi="仿宋_GB2312" w:eastAsia="仿宋_GB2312" w:cs="仿宋_GB2312"/>
                <w:i w:val="0"/>
                <w:iCs w:val="0"/>
                <w:snapToGrid/>
                <w:color w:val="auto"/>
                <w:kern w:val="0"/>
                <w:sz w:val="21"/>
                <w:szCs w:val="21"/>
                <w:highlight w:val="none"/>
                <w:u w:val="none"/>
                <w:lang w:val="en-US" w:eastAsia="zh-CN" w:bidi="ar"/>
              </w:rPr>
            </w:pPr>
          </w:p>
        </w:tc>
      </w:tr>
    </w:tbl>
    <w:p/>
    <w:sectPr>
      <w:pgSz w:w="11906" w:h="16838"/>
      <w:pgMar w:top="1020" w:right="1020" w:bottom="567" w:left="102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8C3DD8"/>
    <w:rsid w:val="09FF1897"/>
    <w:rsid w:val="0A716904"/>
    <w:rsid w:val="1EDE3E34"/>
    <w:rsid w:val="5CC76345"/>
    <w:rsid w:val="5FCD1BDB"/>
    <w:rsid w:val="628C3D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napToGrid w:val="0"/>
      <w:spacing w:after="50" w:afterLines="50" w:line="312" w:lineRule="auto"/>
      <w:jc w:val="both"/>
    </w:pPr>
    <w:rPr>
      <w:rFonts w:eastAsia="微软雅黑" w:asciiTheme="minorAscii" w:hAnsiTheme="minorAscii" w:cstheme="minorBidi"/>
      <w:snapToGrid/>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2025-08-04T01:47:00Z</dcterms:created>
  <dc:creator>蓝钻</dc:creator>
  <cp:lastModifiedBy>蓝钻</cp:lastModifiedBy>
  <dcterms:modified xsi:type="dcterms:W3CDTF">2025-08-06T07:19:33Z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D4E24DE8A3F346E1A194B4FF3674CB2B</vt:lpwstr>
  </property>
</Properties>
</file>