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E3EAA">
      <w:pPr>
        <w:spacing w:before="104" w:line="224" w:lineRule="auto"/>
        <w:ind w:left="149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附件2：</w:t>
      </w:r>
    </w:p>
    <w:p w14:paraId="5C96120A">
      <w:pPr>
        <w:spacing w:before="281" w:line="227" w:lineRule="auto"/>
        <w:ind w:left="2281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9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9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9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9"/>
          <w:sz w:val="44"/>
          <w:szCs w:val="44"/>
          <w:lang w:val="en-US" w:eastAsia="zh-CN"/>
        </w:rPr>
        <w:t>全区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9"/>
          <w:sz w:val="44"/>
          <w:szCs w:val="44"/>
        </w:rPr>
        <w:t>公平竞争审查工作考评细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44"/>
          <w:szCs w:val="44"/>
        </w:rPr>
        <w:t>则(总分10分)</w:t>
      </w:r>
    </w:p>
    <w:p w14:paraId="3FB8D8AA">
      <w:pPr>
        <w:spacing w:line="89" w:lineRule="exact"/>
      </w:pPr>
    </w:p>
    <w:p w14:paraId="24DA2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EE38C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1.各部门出台的政策措施（含代区政府起草的政策措施）公平竞争审查要做到应审尽审，审查率达到100%，每发现1份未进行审查扣2分。</w:t>
      </w:r>
    </w:p>
    <w:p w14:paraId="712A97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2.发现违反《公平竞争审查制度实施细则》出台政策措施的，存在违反审查标准的，每起扣2分。</w:t>
      </w:r>
    </w:p>
    <w:p w14:paraId="3DA54E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3.对违反审查标准未及时停止或调整的，每起扣2分；涉嫌排除、限制竞争问题，未及时核查、改正、上报或反馈有关方面的，每起扣2分。</w:t>
      </w:r>
    </w:p>
    <w:p w14:paraId="35870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4.对在公平竞争审查日常工作材料报送中，出现不报、迟报、瞒报等情形的，每次扣2分。</w:t>
      </w:r>
    </w:p>
    <w:p w14:paraId="7C1A4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2F77349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EAEAE30-7EF9-4164-B19E-318C308CCDBD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09E4AB39-77DF-4F58-B6F8-72B11DD914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14C914C-2A1A-411B-BA71-B51D26527F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MDgyZWE5Mzc2MTNkYjc5NTgwZjUxNzVkMDQxMTMifQ=="/>
  </w:docVars>
  <w:rsids>
    <w:rsidRoot w:val="566325AF"/>
    <w:rsid w:val="5663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2024-11-21T03:32:00Z</dcterms:created>
  <dc:creator>）¥¥¥（</dc:creator>
  <cp:lastModifiedBy>）¥¥¥（</cp:lastModifiedBy>
  <dcterms:modified xsi:type="dcterms:W3CDTF">2024-11-21T03:32:25Z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4616CD595791479EAEF1C659F0B436D0_11</vt:lpwstr>
  </property>
</Properties>
</file>