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1849F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3363C659">
      <w:pPr>
        <w:framePr w:w="9610" w:wrap="auto" w:vAnchor="page" w:hAnchor="page" w:x="1731" w:y="1430"/>
        <w:widowControl w:val="0"/>
        <w:autoSpaceDE w:val="0"/>
        <w:autoSpaceDN w:val="0"/>
        <w:spacing w:before="0" w:after="0" w:line="523" w:lineRule="exact"/>
        <w:ind w:left="881" w:right="0" w:firstLine="0"/>
        <w:jc w:val="left"/>
        <w:rPr>
          <w:rFonts w:ascii="PNUFWW+æ¹æ­£å°æ å®ç®ä½" w:hAnsi="PNUFWW+æ¹æ­£å°æ å®ç®ä½" w:cs="PNUFWW+æ¹æ­£å°æ å®ç®ä½"/>
          <w:color w:val="000000"/>
          <w:spacing w:val="1"/>
          <w:sz w:val="44"/>
        </w:rPr>
      </w:pPr>
    </w:p>
    <w:p w14:paraId="6C9A6C59">
      <w:pPr>
        <w:framePr w:w="9610" w:wrap="auto" w:vAnchor="page" w:hAnchor="page" w:x="1731" w:y="1430"/>
        <w:widowControl w:val="0"/>
        <w:autoSpaceDE w:val="0"/>
        <w:autoSpaceDN w:val="0"/>
        <w:spacing w:before="0" w:after="0" w:line="523" w:lineRule="exact"/>
        <w:ind w:left="881" w:right="0" w:firstLine="0"/>
        <w:jc w:val="left"/>
        <w:rPr>
          <w:rFonts w:ascii="PNUFWW+æ¹æ­£å°æ å®ç®ä½"/>
          <w:color w:val="000000"/>
          <w:spacing w:val="0"/>
          <w:sz w:val="44"/>
        </w:rPr>
      </w:pPr>
      <w:r>
        <w:rPr>
          <w:rFonts w:ascii="PNUFWW+æ¹æ­£å°æ å®ç®ä½" w:hAnsi="PNUFWW+æ¹æ­£å°æ å®ç®ä½" w:cs="PNUFWW+æ¹æ­£å°æ å®ç®ä½"/>
          <w:color w:val="000000"/>
          <w:spacing w:val="1"/>
          <w:sz w:val="44"/>
        </w:rPr>
        <w:t>鄂尔多斯市康巴什区人民政府关于</w:t>
      </w:r>
    </w:p>
    <w:p w14:paraId="109A4058">
      <w:pPr>
        <w:framePr w:w="9610" w:wrap="auto" w:vAnchor="page" w:hAnchor="page" w:x="1731" w:y="1430"/>
        <w:widowControl w:val="0"/>
        <w:autoSpaceDE w:val="0"/>
        <w:autoSpaceDN w:val="0"/>
        <w:spacing w:before="0" w:after="0" w:line="521" w:lineRule="exact"/>
        <w:ind w:left="0" w:right="0" w:firstLine="0"/>
        <w:jc w:val="left"/>
        <w:rPr>
          <w:rFonts w:ascii="PNUFWW+æ¹æ­£å°æ å®ç®ä½"/>
          <w:color w:val="000000"/>
          <w:spacing w:val="0"/>
          <w:sz w:val="44"/>
        </w:rPr>
      </w:pPr>
      <w:r>
        <w:rPr>
          <w:rFonts w:ascii="PNUFWW+æ¹æ­£å°æ å®ç®ä½" w:hAnsi="PNUFWW+æ¹æ­£å°æ å®ç®ä½" w:cs="PNUFWW+æ¹æ­£å°æ å®ç®ä½"/>
          <w:color w:val="000000"/>
          <w:spacing w:val="1"/>
          <w:sz w:val="44"/>
        </w:rPr>
        <w:t>印发康巴什区全民普惠殡葬补贴办法的通知</w:t>
      </w:r>
    </w:p>
    <w:p w14:paraId="13529104">
      <w:pPr>
        <w:framePr w:w="10325" w:wrap="auto" w:vAnchor="page" w:hAnchor="page" w:x="1151" w:y="3409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OLFKMF+ä»¿å®_GB2312" w:hAnsi="OLFKMF+ä»¿å®_GB2312" w:cs="OLFKMF+ä»¿å®_GB2312"/>
          <w:color w:val="000000"/>
          <w:spacing w:val="1"/>
          <w:sz w:val="32"/>
        </w:rPr>
      </w:pPr>
    </w:p>
    <w:p w14:paraId="7F1F0E8B">
      <w:pPr>
        <w:framePr w:w="10325" w:wrap="auto" w:vAnchor="page" w:hAnchor="page" w:x="1151" w:y="3409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ATQBKH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各街道办事处</w:t>
      </w:r>
      <w:r>
        <w:rPr>
          <w:rFonts w:ascii="ATQBKH+ä»¿å®_GB2312"/>
          <w:color w:val="000000"/>
          <w:spacing w:val="-1"/>
          <w:sz w:val="32"/>
        </w:rPr>
        <w:t>,</w:t>
      </w: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区直各部门</w:t>
      </w:r>
      <w:r>
        <w:rPr>
          <w:rFonts w:ascii="ATQBKH+ä»¿å®_GB2312"/>
          <w:color w:val="000000"/>
          <w:spacing w:val="1"/>
          <w:sz w:val="32"/>
        </w:rPr>
        <w:t>,</w:t>
      </w: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各垂直管理部门</w:t>
      </w:r>
      <w:r>
        <w:rPr>
          <w:rFonts w:ascii="ATQBKH+ä»¿å®_GB2312"/>
          <w:color w:val="000000"/>
          <w:spacing w:val="1"/>
          <w:sz w:val="32"/>
        </w:rPr>
        <w:t>,</w:t>
      </w: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各企事业单位</w:t>
      </w:r>
      <w:r>
        <w:rPr>
          <w:rFonts w:ascii="ATQBKH+ä»¿å®_GB2312"/>
          <w:color w:val="000000"/>
          <w:spacing w:val="0"/>
          <w:sz w:val="32"/>
        </w:rPr>
        <w:t>:</w:t>
      </w:r>
    </w:p>
    <w:p w14:paraId="156BADC7">
      <w:pPr>
        <w:framePr w:w="10325" w:wrap="auto" w:vAnchor="page" w:hAnchor="page" w:x="1151" w:y="3409"/>
        <w:widowControl w:val="0"/>
        <w:autoSpaceDE w:val="0"/>
        <w:autoSpaceDN w:val="0"/>
        <w:spacing w:before="202" w:after="0" w:line="319" w:lineRule="exact"/>
        <w:ind w:left="638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《康巴什区全民普惠殡葬补贴办法》已经康巴什区人民政府</w:t>
      </w:r>
    </w:p>
    <w:p w14:paraId="23905CB0">
      <w:pPr>
        <w:framePr w:w="10325" w:wrap="auto" w:vAnchor="page" w:hAnchor="page" w:x="1151" w:y="3409"/>
        <w:widowControl w:val="0"/>
        <w:autoSpaceDE w:val="0"/>
        <w:autoSpaceDN w:val="0"/>
        <w:spacing w:before="199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ATQBKH+ä»¿å®_GB2312"/>
          <w:color w:val="000000"/>
          <w:spacing w:val="0"/>
          <w:sz w:val="32"/>
        </w:rPr>
        <w:t>2025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OLFKMF+ä»¿å®_GB2312" w:hAnsi="OLFKMF+ä»¿å®_GB2312" w:cs="OLFKMF+ä»¿å®_GB2312"/>
          <w:color w:val="000000"/>
          <w:spacing w:val="0"/>
          <w:sz w:val="32"/>
        </w:rPr>
        <w:t>年第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ATQBKH+ä»¿å®_GB2312"/>
          <w:color w:val="000000"/>
          <w:spacing w:val="-1"/>
          <w:sz w:val="32"/>
        </w:rPr>
        <w:t>14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OLFKMF+ä»¿å®_GB2312" w:hAnsi="OLFKMF+ä»¿å®_GB2312" w:cs="OLFKMF+ä»¿å®_GB2312"/>
          <w:color w:val="000000"/>
          <w:spacing w:val="-9"/>
          <w:sz w:val="32"/>
        </w:rPr>
        <w:t>次常务会议审议通过，现印发给你们，请遵照执行。</w:t>
      </w:r>
    </w:p>
    <w:p w14:paraId="3EDC72D8">
      <w:pPr>
        <w:framePr w:w="4782" w:wrap="auto" w:vAnchor="page" w:hAnchor="page" w:x="5591" w:y="5721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OLFKMF+ä»¿å®_GB2312" w:hAnsi="OLFKMF+ä»¿å®_GB2312" w:cs="OLFKMF+ä»¿å®_GB2312"/>
          <w:color w:val="000000"/>
          <w:spacing w:val="1"/>
          <w:sz w:val="32"/>
        </w:rPr>
      </w:pPr>
    </w:p>
    <w:p w14:paraId="5F35BA70">
      <w:pPr>
        <w:framePr w:w="4782" w:wrap="auto" w:vAnchor="page" w:hAnchor="page" w:x="5591" w:y="5721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鄂尔多斯市康巴什区人民政府</w:t>
      </w:r>
    </w:p>
    <w:p w14:paraId="36CAD42B">
      <w:pPr>
        <w:framePr w:w="2959" w:wrap="auto" w:vAnchor="page" w:hAnchor="page" w:x="6217" w:y="6242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ATQBKH+ä»¿å®_GB2312"/>
          <w:color w:val="000000"/>
          <w:spacing w:val="0"/>
          <w:sz w:val="32"/>
        </w:rPr>
      </w:pPr>
    </w:p>
    <w:p w14:paraId="51FD2773">
      <w:pPr>
        <w:framePr w:w="2959" w:wrap="auto" w:vAnchor="page" w:hAnchor="page" w:x="6217" w:y="6242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ATQBKH+ä»¿å®_GB2312"/>
          <w:color w:val="000000"/>
          <w:spacing w:val="0"/>
          <w:sz w:val="32"/>
        </w:rPr>
        <w:t>2025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OLFKMF+ä»¿å®_GB2312" w:hAnsi="OLFKMF+ä»¿å®_GB2312" w:cs="OLFKMF+ä»¿å®_GB2312"/>
          <w:color w:val="000000"/>
          <w:spacing w:val="0"/>
          <w:sz w:val="32"/>
        </w:rPr>
        <w:t>年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ATQBKH+ä»¿å®_GB2312"/>
          <w:color w:val="000000"/>
          <w:spacing w:val="0"/>
          <w:sz w:val="32"/>
        </w:rPr>
        <w:t>6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OLFKMF+ä»¿å®_GB2312" w:hAnsi="OLFKMF+ä»¿å®_GB2312" w:cs="OLFKMF+ä»¿å®_GB2312"/>
          <w:color w:val="000000"/>
          <w:spacing w:val="0"/>
          <w:sz w:val="32"/>
        </w:rPr>
        <w:t>月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ATQBKH+ä»¿å®_GB2312"/>
          <w:color w:val="000000"/>
          <w:spacing w:val="-1"/>
          <w:sz w:val="32"/>
        </w:rPr>
        <w:t>16</w:t>
      </w:r>
      <w:r>
        <w:rPr>
          <w:rFonts w:ascii="Times New Roman"/>
          <w:color w:val="000000"/>
          <w:spacing w:val="4"/>
          <w:sz w:val="32"/>
        </w:rPr>
        <w:t xml:space="preserve"> </w:t>
      </w:r>
      <w:r>
        <w:rPr>
          <w:rFonts w:ascii="OLFKMF+ä»¿å®_GB2312" w:hAnsi="OLFKMF+ä»¿å®_GB2312" w:cs="OLFKMF+ä»¿å®_GB2312"/>
          <w:color w:val="000000"/>
          <w:spacing w:val="0"/>
          <w:sz w:val="32"/>
        </w:rPr>
        <w:t>日</w:t>
      </w:r>
    </w:p>
    <w:p w14:paraId="3BF79B0F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br w:type="page"/>
      </w:r>
      <w:bookmarkStart w:id="0" w:name="_GoBack"/>
      <w:bookmarkEnd w:id="0"/>
    </w:p>
    <w:p w14:paraId="1BB49249">
      <w:pPr>
        <w:bidi w:val="0"/>
        <w:rPr>
          <w:sz w:val="22"/>
          <w:szCs w:val="22"/>
          <w:lang w:val="en-US" w:eastAsia="en-US" w:bidi="ar-SA"/>
        </w:rPr>
      </w:pPr>
    </w:p>
    <w:p w14:paraId="69C7DA95">
      <w:pPr>
        <w:bidi w:val="0"/>
        <w:rPr>
          <w:lang w:val="en-US" w:eastAsia="en-US"/>
        </w:rPr>
      </w:pPr>
    </w:p>
    <w:p w14:paraId="4FECC14A">
      <w:pPr>
        <w:bidi w:val="0"/>
        <w:rPr>
          <w:lang w:val="en-US" w:eastAsia="en-US"/>
        </w:rPr>
      </w:pPr>
    </w:p>
    <w:p w14:paraId="7BB9422E">
      <w:pPr>
        <w:bidi w:val="0"/>
        <w:rPr>
          <w:lang w:val="en-US" w:eastAsia="en-US"/>
        </w:rPr>
      </w:pPr>
    </w:p>
    <w:p w14:paraId="3C93378D">
      <w:pPr>
        <w:bidi w:val="0"/>
        <w:rPr>
          <w:lang w:val="en-US" w:eastAsia="en-US"/>
        </w:rPr>
      </w:pPr>
    </w:p>
    <w:p w14:paraId="5F947273">
      <w:pPr>
        <w:bidi w:val="0"/>
        <w:rPr>
          <w:lang w:val="en-US" w:eastAsia="en-US"/>
        </w:rPr>
      </w:pPr>
    </w:p>
    <w:p w14:paraId="121A22D0">
      <w:pPr>
        <w:bidi w:val="0"/>
        <w:rPr>
          <w:lang w:val="en-US" w:eastAsia="en-US"/>
        </w:rPr>
      </w:pPr>
    </w:p>
    <w:p w14:paraId="33CA5722">
      <w:pPr>
        <w:bidi w:val="0"/>
        <w:rPr>
          <w:lang w:val="en-US" w:eastAsia="en-US"/>
        </w:rPr>
      </w:pPr>
    </w:p>
    <w:p w14:paraId="2117E14D">
      <w:pPr>
        <w:bidi w:val="0"/>
        <w:rPr>
          <w:lang w:val="en-US" w:eastAsia="en-US"/>
        </w:rPr>
      </w:pPr>
    </w:p>
    <w:p w14:paraId="3F707377">
      <w:pPr>
        <w:bidi w:val="0"/>
        <w:rPr>
          <w:lang w:val="en-US" w:eastAsia="en-US"/>
        </w:rPr>
      </w:pPr>
    </w:p>
    <w:p w14:paraId="552E64E1">
      <w:pPr>
        <w:bidi w:val="0"/>
        <w:rPr>
          <w:lang w:val="en-US" w:eastAsia="en-US"/>
        </w:rPr>
      </w:pPr>
    </w:p>
    <w:p w14:paraId="7853D3B4">
      <w:pPr>
        <w:bidi w:val="0"/>
        <w:rPr>
          <w:lang w:val="en-US" w:eastAsia="en-US"/>
        </w:rPr>
      </w:pPr>
    </w:p>
    <w:p w14:paraId="1DC2E03F">
      <w:pPr>
        <w:bidi w:val="0"/>
        <w:rPr>
          <w:lang w:val="en-US" w:eastAsia="en-US"/>
        </w:rPr>
      </w:pPr>
    </w:p>
    <w:p w14:paraId="038A9F86">
      <w:pPr>
        <w:bidi w:val="0"/>
        <w:rPr>
          <w:lang w:val="en-US" w:eastAsia="en-US"/>
        </w:rPr>
      </w:pPr>
    </w:p>
    <w:p w14:paraId="3711A56B">
      <w:pPr>
        <w:bidi w:val="0"/>
        <w:rPr>
          <w:lang w:val="en-US" w:eastAsia="en-US"/>
        </w:rPr>
      </w:pPr>
    </w:p>
    <w:p w14:paraId="2F12B8FB">
      <w:pPr>
        <w:bidi w:val="0"/>
        <w:rPr>
          <w:lang w:val="en-US" w:eastAsia="en-US"/>
        </w:rPr>
      </w:pPr>
    </w:p>
    <w:p w14:paraId="0AFB4E6A">
      <w:pPr>
        <w:bidi w:val="0"/>
        <w:rPr>
          <w:lang w:val="en-US" w:eastAsia="en-US"/>
        </w:rPr>
      </w:pPr>
    </w:p>
    <w:p w14:paraId="32EADD19">
      <w:pPr>
        <w:bidi w:val="0"/>
        <w:jc w:val="left"/>
        <w:rPr>
          <w:lang w:val="en-US" w:eastAsia="en-US"/>
        </w:rPr>
      </w:pPr>
    </w:p>
    <w:p w14:paraId="3429BB7C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05537203">
      <w:pPr>
        <w:framePr w:w="7080" w:wrap="auto" w:vAnchor="margin" w:hAnchor="text" w:x="2918" w:y="2130"/>
        <w:widowControl w:val="0"/>
        <w:autoSpaceDE w:val="0"/>
        <w:autoSpaceDN w:val="0"/>
        <w:spacing w:before="0" w:after="0" w:line="523" w:lineRule="exact"/>
        <w:ind w:left="0" w:right="0" w:firstLine="0"/>
        <w:jc w:val="left"/>
        <w:rPr>
          <w:rFonts w:ascii="PNUFWW+æ¹æ­£å°æ å®ç®ä½"/>
          <w:color w:val="000000"/>
          <w:spacing w:val="0"/>
          <w:sz w:val="44"/>
        </w:rPr>
      </w:pPr>
      <w:r>
        <w:rPr>
          <w:rFonts w:ascii="PNUFWW+æ¹æ­£å°æ å®ç®ä½" w:hAnsi="PNUFWW+æ¹æ­£å°æ å®ç®ä½" w:cs="PNUFWW+æ¹æ­£å°æ å®ç®ä½"/>
          <w:color w:val="000000"/>
          <w:spacing w:val="1"/>
          <w:sz w:val="44"/>
        </w:rPr>
        <w:t>康巴什区全民普惠殡葬补贴办法</w:t>
      </w:r>
    </w:p>
    <w:p w14:paraId="59E62013">
      <w:pPr>
        <w:framePr w:w="10272" w:wrap="auto" w:vAnchor="margin" w:hAnchor="text" w:x="1589" w:y="3373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2"/>
          <w:sz w:val="32"/>
        </w:rPr>
        <w:t>根据国务院《殡葬管理条例》、民政部等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ATQBKH+ä»¿å®_GB2312"/>
          <w:color w:val="000000"/>
          <w:spacing w:val="-1"/>
          <w:sz w:val="32"/>
        </w:rPr>
        <w:t>16</w:t>
      </w:r>
      <w:r>
        <w:rPr>
          <w:rFonts w:ascii="Times New Roman"/>
          <w:color w:val="000000"/>
          <w:spacing w:val="4"/>
          <w:sz w:val="32"/>
        </w:rPr>
        <w:t xml:space="preserve"> </w:t>
      </w:r>
      <w:r>
        <w:rPr>
          <w:rFonts w:ascii="OLFKMF+ä»¿å®_GB2312" w:hAnsi="OLFKMF+ä»¿å®_GB2312" w:cs="OLFKMF+ä»¿å®_GB2312"/>
          <w:color w:val="000000"/>
          <w:spacing w:val="2"/>
          <w:sz w:val="32"/>
        </w:rPr>
        <w:t>部门联合印发</w:t>
      </w:r>
    </w:p>
    <w:p w14:paraId="3FE14BD8">
      <w:pPr>
        <w:framePr w:w="10272" w:wrap="auto" w:vAnchor="margin" w:hAnchor="text" w:x="1589" w:y="3373"/>
        <w:widowControl w:val="0"/>
        <w:autoSpaceDE w:val="0"/>
        <w:autoSpaceDN w:val="0"/>
        <w:spacing w:before="243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《关于进一步推动殡葬改革促进殡葬事业发展的指导意见》（民</w:t>
      </w:r>
    </w:p>
    <w:p w14:paraId="49ABDBFF">
      <w:pPr>
        <w:framePr w:w="10272" w:wrap="auto" w:vAnchor="margin" w:hAnchor="text" w:x="1589" w:y="3373"/>
        <w:widowControl w:val="0"/>
        <w:autoSpaceDE w:val="0"/>
        <w:autoSpaceDN w:val="0"/>
        <w:spacing w:before="240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7"/>
          <w:sz w:val="32"/>
        </w:rPr>
        <w:t>发〔</w:t>
      </w:r>
      <w:r>
        <w:rPr>
          <w:rFonts w:ascii="ATQBKH+ä»¿å®_GB2312"/>
          <w:color w:val="000000"/>
          <w:spacing w:val="1"/>
          <w:sz w:val="32"/>
        </w:rPr>
        <w:t>2018</w:t>
      </w:r>
      <w:r>
        <w:rPr>
          <w:rFonts w:ascii="OLFKMF+ä»¿å®_GB2312" w:hAnsi="OLFKMF+ä»¿å®_GB2312" w:cs="OLFKMF+ä»¿å®_GB2312"/>
          <w:color w:val="000000"/>
          <w:spacing w:val="-14"/>
          <w:sz w:val="32"/>
        </w:rPr>
        <w:t>〕</w:t>
      </w:r>
      <w:r>
        <w:rPr>
          <w:rFonts w:ascii="ATQBKH+ä»¿å®_GB2312"/>
          <w:color w:val="000000"/>
          <w:spacing w:val="0"/>
          <w:sz w:val="32"/>
        </w:rPr>
        <w:t>5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OLFKMF+ä»¿å®_GB2312" w:hAnsi="OLFKMF+ä»¿å®_GB2312" w:cs="OLFKMF+ä»¿å®_GB2312"/>
          <w:color w:val="000000"/>
          <w:spacing w:val="0"/>
          <w:sz w:val="32"/>
        </w:rPr>
        <w:t>号）和《鄂尔多斯市人民政府关于实施惠民殡葬政</w:t>
      </w:r>
    </w:p>
    <w:p w14:paraId="70059B92">
      <w:pPr>
        <w:framePr w:w="10272" w:wrap="auto" w:vAnchor="margin" w:hAnchor="text" w:x="1589" w:y="3373"/>
        <w:widowControl w:val="0"/>
        <w:autoSpaceDE w:val="0"/>
        <w:autoSpaceDN w:val="0"/>
        <w:spacing w:before="240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2"/>
          <w:sz w:val="32"/>
        </w:rPr>
        <w:t>策的意见》</w:t>
      </w:r>
      <w:r>
        <w:rPr>
          <w:rFonts w:ascii="ATQBKH+ä»¿å®_GB2312"/>
          <w:color w:val="000000"/>
          <w:spacing w:val="1"/>
          <w:sz w:val="32"/>
        </w:rPr>
        <w:t>(</w:t>
      </w:r>
      <w:r>
        <w:rPr>
          <w:rFonts w:ascii="OLFKMF+ä»¿å®_GB2312" w:hAnsi="OLFKMF+ä»¿å®_GB2312" w:cs="OLFKMF+ä»¿å®_GB2312"/>
          <w:color w:val="000000"/>
          <w:spacing w:val="-2"/>
          <w:sz w:val="32"/>
        </w:rPr>
        <w:t>鄂府发〔</w:t>
      </w:r>
      <w:r>
        <w:rPr>
          <w:rFonts w:ascii="ATQBKH+ä»¿å®_GB2312"/>
          <w:color w:val="000000"/>
          <w:spacing w:val="1"/>
          <w:sz w:val="32"/>
        </w:rPr>
        <w:t>2013</w:t>
      </w:r>
      <w:r>
        <w:rPr>
          <w:rFonts w:ascii="OLFKMF+ä»¿å®_GB2312" w:hAnsi="OLFKMF+ä»¿å®_GB2312" w:cs="OLFKMF+ä»¿å®_GB2312"/>
          <w:color w:val="000000"/>
          <w:spacing w:val="-9"/>
          <w:sz w:val="32"/>
        </w:rPr>
        <w:t>〕</w:t>
      </w:r>
      <w:r>
        <w:rPr>
          <w:rFonts w:ascii="ATQBKH+ä»¿å®_GB2312"/>
          <w:color w:val="000000"/>
          <w:spacing w:val="-1"/>
          <w:sz w:val="32"/>
        </w:rPr>
        <w:t>61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OLFKMF+ä»¿å®_GB2312" w:hAnsi="OLFKMF+ä»¿å®_GB2312" w:cs="OLFKMF+ä»¿å®_GB2312"/>
          <w:color w:val="000000"/>
          <w:spacing w:val="-1"/>
          <w:sz w:val="32"/>
        </w:rPr>
        <w:t>号）精神，以深入贯彻铸牢中华</w:t>
      </w:r>
    </w:p>
    <w:p w14:paraId="34B1BF4E">
      <w:pPr>
        <w:framePr w:w="10272" w:wrap="auto" w:vAnchor="margin" w:hAnchor="text" w:x="1589" w:y="3373"/>
        <w:widowControl w:val="0"/>
        <w:autoSpaceDE w:val="0"/>
        <w:autoSpaceDN w:val="0"/>
        <w:spacing w:before="243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民族共同体意识为主线，深化殡葬改革，倡导移风易俗，推行遗</w:t>
      </w:r>
    </w:p>
    <w:p w14:paraId="3F8B0950">
      <w:pPr>
        <w:framePr w:w="10272" w:wrap="auto" w:vAnchor="margin" w:hAnchor="text" w:x="1589" w:y="3373"/>
        <w:widowControl w:val="0"/>
        <w:autoSpaceDE w:val="0"/>
        <w:autoSpaceDN w:val="0"/>
        <w:spacing w:before="240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2"/>
          <w:sz w:val="32"/>
        </w:rPr>
        <w:t>体火化，减轻群众治丧负担</w:t>
      </w:r>
      <w:r>
        <w:rPr>
          <w:rFonts w:ascii="ATQBKH+ä»¿å®_GB2312"/>
          <w:color w:val="000000"/>
          <w:spacing w:val="1"/>
          <w:sz w:val="32"/>
        </w:rPr>
        <w:t>,</w:t>
      </w:r>
      <w:r>
        <w:rPr>
          <w:rFonts w:ascii="OLFKMF+ä»¿å®_GB2312" w:hAnsi="OLFKMF+ä»¿å®_GB2312" w:cs="OLFKMF+ä»¿å®_GB2312"/>
          <w:color w:val="000000"/>
          <w:spacing w:val="2"/>
          <w:sz w:val="32"/>
        </w:rPr>
        <w:t>健全和完善康巴什区惠民殡葬及节</w:t>
      </w:r>
    </w:p>
    <w:p w14:paraId="491510A6">
      <w:pPr>
        <w:framePr w:w="10272" w:wrap="auto" w:vAnchor="margin" w:hAnchor="text" w:x="1589" w:y="3373"/>
        <w:widowControl w:val="0"/>
        <w:autoSpaceDE w:val="0"/>
        <w:autoSpaceDN w:val="0"/>
        <w:spacing w:before="240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地生态安葬补贴机制，结合康巴什区实际，制定本办法。</w:t>
      </w:r>
    </w:p>
    <w:p w14:paraId="685812AE">
      <w:pPr>
        <w:framePr w:w="10272" w:wrap="auto" w:vAnchor="margin" w:hAnchor="text" w:x="1589" w:y="3373"/>
        <w:widowControl w:val="0"/>
        <w:autoSpaceDE w:val="0"/>
        <w:autoSpaceDN w:val="0"/>
        <w:spacing w:before="243" w:after="0" w:line="319" w:lineRule="exact"/>
        <w:ind w:left="638" w:right="0" w:firstLine="0"/>
        <w:jc w:val="left"/>
        <w:rPr>
          <w:rFonts w:ascii="DBMOGB+é»ä½"/>
          <w:color w:val="000000"/>
          <w:spacing w:val="0"/>
          <w:sz w:val="32"/>
        </w:rPr>
      </w:pPr>
      <w:r>
        <w:rPr>
          <w:rFonts w:ascii="DBMOGB+é»ä½" w:hAnsi="DBMOGB+é»ä½" w:cs="DBMOGB+é»ä½"/>
          <w:color w:val="000000"/>
          <w:spacing w:val="1"/>
          <w:sz w:val="32"/>
        </w:rPr>
        <w:t>一、享受全民普惠殡葬补贴对象</w:t>
      </w:r>
    </w:p>
    <w:p w14:paraId="100371C3">
      <w:pPr>
        <w:framePr w:w="10272" w:wrap="auto" w:vAnchor="margin" w:hAnchor="text" w:x="1589" w:y="7854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凡生前具有康巴什区户籍，死亡后在鄂尔多斯市范围内以殡</w:t>
      </w:r>
    </w:p>
    <w:p w14:paraId="00CBF9CA">
      <w:pPr>
        <w:framePr w:w="10272" w:wrap="auto" w:vAnchor="margin" w:hAnchor="text" w:x="1589" w:y="7854"/>
        <w:widowControl w:val="0"/>
        <w:autoSpaceDE w:val="0"/>
        <w:autoSpaceDN w:val="0"/>
        <w:spacing w:before="240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葬专用车辆接运遗体，并在经政府审批的正规殡仪服务机构进行</w:t>
      </w:r>
    </w:p>
    <w:p w14:paraId="421960AA">
      <w:pPr>
        <w:framePr w:w="10272" w:wrap="auto" w:vAnchor="margin" w:hAnchor="text" w:x="1589" w:y="7854"/>
        <w:widowControl w:val="0"/>
        <w:autoSpaceDE w:val="0"/>
        <w:autoSpaceDN w:val="0"/>
        <w:spacing w:before="243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治丧、火化，骨灰在殡仪馆寄存、公墓安葬或选择节地生态安葬</w:t>
      </w:r>
    </w:p>
    <w:p w14:paraId="50111062">
      <w:pPr>
        <w:framePr w:w="10272" w:wrap="auto" w:vAnchor="margin" w:hAnchor="text" w:x="1589" w:y="7854"/>
        <w:widowControl w:val="0"/>
        <w:autoSpaceDE w:val="0"/>
        <w:autoSpaceDN w:val="0"/>
        <w:spacing w:before="240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的人员。</w:t>
      </w:r>
    </w:p>
    <w:p w14:paraId="4AF6F172">
      <w:pPr>
        <w:framePr w:w="2400" w:wrap="auto" w:vAnchor="margin" w:hAnchor="text" w:x="2230" w:y="10093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DBMOGB+é»ä½"/>
          <w:color w:val="000000"/>
          <w:spacing w:val="0"/>
          <w:sz w:val="32"/>
        </w:rPr>
      </w:pPr>
      <w:r>
        <w:rPr>
          <w:rFonts w:ascii="DBMOGB+é»ä½" w:hAnsi="DBMOGB+é»ä½" w:cs="DBMOGB+é»ä½"/>
          <w:color w:val="000000"/>
          <w:spacing w:val="1"/>
          <w:sz w:val="32"/>
        </w:rPr>
        <w:t>二、补贴标准</w:t>
      </w:r>
    </w:p>
    <w:p w14:paraId="14C7FAD5">
      <w:pPr>
        <w:framePr w:w="10272" w:wrap="auto" w:vAnchor="margin" w:hAnchor="text" w:x="1589" w:y="10655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9"/>
          <w:sz w:val="32"/>
        </w:rPr>
        <w:t>康巴什区户籍居民在鄂尔多斯市范围内以殡葬专用车辆接</w:t>
      </w:r>
    </w:p>
    <w:p w14:paraId="56E7FBC0">
      <w:pPr>
        <w:framePr w:w="10272" w:wrap="auto" w:vAnchor="margin" w:hAnchor="text" w:x="1589" w:y="10655"/>
        <w:widowControl w:val="0"/>
        <w:autoSpaceDE w:val="0"/>
        <w:autoSpaceDN w:val="0"/>
        <w:spacing w:before="240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运遗体，在经政府审批的正规殡仪服务机构进行治丧、火化，骨</w:t>
      </w:r>
    </w:p>
    <w:p w14:paraId="666FEB96">
      <w:pPr>
        <w:framePr w:w="10272" w:wrap="auto" w:vAnchor="margin" w:hAnchor="text" w:x="1589" w:y="10655"/>
        <w:widowControl w:val="0"/>
        <w:autoSpaceDE w:val="0"/>
        <w:autoSpaceDN w:val="0"/>
        <w:spacing w:before="240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2"/>
          <w:sz w:val="32"/>
        </w:rPr>
        <w:t>灰在殡仪馆寄存或公墓安葬的，一次性补贴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ATQBKH+ä»¿å®_GB2312"/>
          <w:color w:val="000000"/>
          <w:spacing w:val="0"/>
          <w:sz w:val="32"/>
        </w:rPr>
        <w:t>6000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OLFKMF+ä»¿å®_GB2312" w:hAnsi="OLFKMF+ä»¿å®_GB2312" w:cs="OLFKMF+ä»¿å®_GB2312"/>
          <w:color w:val="000000"/>
          <w:spacing w:val="2"/>
          <w:sz w:val="32"/>
        </w:rPr>
        <w:t>元；选择节地</w:t>
      </w:r>
    </w:p>
    <w:p w14:paraId="0FCDD3C2">
      <w:pPr>
        <w:framePr w:w="10272" w:wrap="auto" w:vAnchor="margin" w:hAnchor="text" w:x="1589" w:y="10655"/>
        <w:widowControl w:val="0"/>
        <w:autoSpaceDE w:val="0"/>
        <w:autoSpaceDN w:val="0"/>
        <w:spacing w:before="243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生态安葬的，一次性补贴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ATQBKH+ä»¿å®_GB2312"/>
          <w:color w:val="000000"/>
          <w:spacing w:val="0"/>
          <w:sz w:val="32"/>
        </w:rPr>
        <w:t>8000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OLFKMF+ä»¿å®_GB2312" w:hAnsi="OLFKMF+ä»¿å®_GB2312" w:cs="OLFKMF+ä»¿å®_GB2312"/>
          <w:color w:val="000000"/>
          <w:spacing w:val="0"/>
          <w:sz w:val="32"/>
        </w:rPr>
        <w:t>元。</w:t>
      </w:r>
    </w:p>
    <w:p w14:paraId="603504C3">
      <w:pPr>
        <w:framePr w:w="4415" w:wrap="auto" w:vAnchor="margin" w:hAnchor="text" w:x="2227" w:y="12894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DBMOGB+é»ä½"/>
          <w:color w:val="000000"/>
          <w:spacing w:val="0"/>
          <w:sz w:val="32"/>
        </w:rPr>
      </w:pPr>
      <w:r>
        <w:rPr>
          <w:rFonts w:ascii="DBMOGB+é»ä½" w:hAnsi="DBMOGB+é»ä½" w:cs="DBMOGB+é»ä½"/>
          <w:color w:val="000000"/>
          <w:spacing w:val="1"/>
          <w:sz w:val="32"/>
        </w:rPr>
        <w:t>三、节地生态葬内容及方式</w:t>
      </w:r>
    </w:p>
    <w:p w14:paraId="454A0DF5">
      <w:pPr>
        <w:framePr w:w="10272" w:wrap="auto" w:vAnchor="margin" w:hAnchor="text" w:x="1589" w:y="13453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在鄂尔多斯市范围内经政府审批的正规公墓、公益性公墓内</w:t>
      </w:r>
    </w:p>
    <w:p w14:paraId="65A9BE1E">
      <w:pPr>
        <w:framePr w:w="10272" w:wrap="auto" w:vAnchor="margin" w:hAnchor="text" w:x="1589" w:y="13453"/>
        <w:widowControl w:val="0"/>
        <w:autoSpaceDE w:val="0"/>
        <w:autoSpaceDN w:val="0"/>
        <w:spacing w:before="243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采用树葬、花葬、草坪葬、深埋葬（均不留坟头）、撒散等节地</w:t>
      </w:r>
    </w:p>
    <w:p w14:paraId="75B05BEF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 w14:paraId="2DF30955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 w14:paraId="51173057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549AC7B9">
      <w:pPr>
        <w:framePr w:w="10272" w:wrap="auto" w:vAnchor="margin" w:hAnchor="text" w:x="1589" w:y="2255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生态安葬方式，由当地公墓管理部门安排专人施工，殡仪馆或公</w:t>
      </w:r>
    </w:p>
    <w:p w14:paraId="759FA6D9">
      <w:pPr>
        <w:framePr w:w="10272" w:wrap="auto" w:vAnchor="margin" w:hAnchor="text" w:x="1589" w:y="2255"/>
        <w:widowControl w:val="0"/>
        <w:autoSpaceDE w:val="0"/>
        <w:autoSpaceDN w:val="0"/>
        <w:spacing w:before="240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墓管理部门签批认可并组织实时操作，到当地民政部门出具节地</w:t>
      </w:r>
    </w:p>
    <w:p w14:paraId="1DF8EC1B">
      <w:pPr>
        <w:framePr w:w="10272" w:wrap="auto" w:vAnchor="margin" w:hAnchor="text" w:x="1589" w:y="2255"/>
        <w:widowControl w:val="0"/>
        <w:autoSpaceDE w:val="0"/>
        <w:autoSpaceDN w:val="0"/>
        <w:spacing w:before="240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生态安葬证明。</w:t>
      </w:r>
    </w:p>
    <w:p w14:paraId="495917C8">
      <w:pPr>
        <w:framePr w:w="2400" w:wrap="auto" w:vAnchor="margin" w:hAnchor="text" w:x="2227" w:y="3935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DBMOGB+é»ä½"/>
          <w:color w:val="000000"/>
          <w:spacing w:val="0"/>
          <w:sz w:val="32"/>
        </w:rPr>
      </w:pPr>
      <w:r>
        <w:rPr>
          <w:rFonts w:ascii="DBMOGB+é»ä½" w:hAnsi="DBMOGB+é»ä½" w:cs="DBMOGB+é»ä½"/>
          <w:color w:val="000000"/>
          <w:spacing w:val="1"/>
          <w:sz w:val="32"/>
        </w:rPr>
        <w:t>四、所需材料</w:t>
      </w:r>
    </w:p>
    <w:p w14:paraId="34123931">
      <w:pPr>
        <w:framePr w:w="10142" w:wrap="auto" w:vAnchor="margin" w:hAnchor="text" w:x="1589" w:y="4494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符合本办法规定的人员死亡后，其丧事承办人可向康巴什区</w:t>
      </w:r>
    </w:p>
    <w:p w14:paraId="0A7AF2A8">
      <w:pPr>
        <w:framePr w:w="10142" w:wrap="auto" w:vAnchor="margin" w:hAnchor="text" w:x="1589" w:y="4494"/>
        <w:widowControl w:val="0"/>
        <w:autoSpaceDE w:val="0"/>
        <w:autoSpaceDN w:val="0"/>
        <w:spacing w:before="240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民政局提出申请，并提交下列材料：</w:t>
      </w:r>
    </w:p>
    <w:p w14:paraId="6E54C27A">
      <w:pPr>
        <w:framePr w:w="10142" w:wrap="auto" w:vAnchor="margin" w:hAnchor="text" w:x="1589" w:y="5615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（一）火化证明原件和复印件（一式两份）；</w:t>
      </w:r>
    </w:p>
    <w:p w14:paraId="64D46E11">
      <w:pPr>
        <w:framePr w:w="10142" w:wrap="auto" w:vAnchor="margin" w:hAnchor="text" w:x="1589" w:y="5615"/>
        <w:widowControl w:val="0"/>
        <w:autoSpaceDE w:val="0"/>
        <w:autoSpaceDN w:val="0"/>
        <w:spacing w:before="240" w:after="0" w:line="319" w:lineRule="exact"/>
        <w:ind w:left="638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（二）逝者身份证、户口本原件和复印件（一式两份）；</w:t>
      </w:r>
    </w:p>
    <w:p w14:paraId="7A776373">
      <w:pPr>
        <w:framePr w:w="10142" w:wrap="auto" w:vAnchor="margin" w:hAnchor="text" w:x="1589" w:y="5615"/>
        <w:widowControl w:val="0"/>
        <w:autoSpaceDE w:val="0"/>
        <w:autoSpaceDN w:val="0"/>
        <w:spacing w:before="240" w:after="0" w:line="319" w:lineRule="exact"/>
        <w:ind w:left="638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（三）殡仪馆收费票据原件和复印件（一式两份）；</w:t>
      </w:r>
    </w:p>
    <w:p w14:paraId="347A7B91">
      <w:pPr>
        <w:framePr w:w="10142" w:wrap="auto" w:vAnchor="margin" w:hAnchor="text" w:x="1589" w:y="5615"/>
        <w:widowControl w:val="0"/>
        <w:autoSpaceDE w:val="0"/>
        <w:autoSpaceDN w:val="0"/>
        <w:spacing w:before="243" w:after="0" w:line="319" w:lineRule="exact"/>
        <w:ind w:left="638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（四）殡仪馆出具的殡仪馆寄存证明，或公墓管理部门出具</w:t>
      </w:r>
    </w:p>
    <w:p w14:paraId="752E279D">
      <w:pPr>
        <w:framePr w:w="10142" w:wrap="auto" w:vAnchor="margin" w:hAnchor="text" w:x="1589" w:y="5615"/>
        <w:widowControl w:val="0"/>
        <w:autoSpaceDE w:val="0"/>
        <w:autoSpaceDN w:val="0"/>
        <w:spacing w:before="240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的墓位证明原件和复印件（一式两份）；</w:t>
      </w:r>
    </w:p>
    <w:p w14:paraId="6CFC3BD9">
      <w:pPr>
        <w:framePr w:w="10142" w:wrap="auto" w:vAnchor="margin" w:hAnchor="text" w:x="1589" w:y="5615"/>
        <w:widowControl w:val="0"/>
        <w:autoSpaceDE w:val="0"/>
        <w:autoSpaceDN w:val="0"/>
        <w:spacing w:before="240" w:after="0" w:line="319" w:lineRule="exact"/>
        <w:ind w:left="638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（五）选择生态安葬的需出具节地生态安葬证明原件和复印</w:t>
      </w:r>
    </w:p>
    <w:p w14:paraId="710A898A">
      <w:pPr>
        <w:framePr w:w="10142" w:wrap="auto" w:vAnchor="margin" w:hAnchor="text" w:x="1589" w:y="5615"/>
        <w:widowControl w:val="0"/>
        <w:autoSpaceDE w:val="0"/>
        <w:autoSpaceDN w:val="0"/>
        <w:spacing w:before="243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件（一式两份）；</w:t>
      </w:r>
    </w:p>
    <w:p w14:paraId="18A396BC">
      <w:pPr>
        <w:framePr w:w="9198" w:wrap="auto" w:vAnchor="margin" w:hAnchor="text" w:x="2227" w:y="9534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（六）丧事承办人身份证和银行卡复印件（一式两份）。</w:t>
      </w:r>
    </w:p>
    <w:p w14:paraId="56FA2084">
      <w:pPr>
        <w:framePr w:w="9198" w:wrap="auto" w:vAnchor="margin" w:hAnchor="text" w:x="2227" w:y="9534"/>
        <w:widowControl w:val="0"/>
        <w:autoSpaceDE w:val="0"/>
        <w:autoSpaceDN w:val="0"/>
        <w:spacing w:before="240" w:after="0" w:line="319" w:lineRule="exact"/>
        <w:ind w:left="0" w:right="0" w:firstLine="0"/>
        <w:jc w:val="left"/>
        <w:rPr>
          <w:rFonts w:ascii="DBMOGB+é»ä½"/>
          <w:color w:val="000000"/>
          <w:spacing w:val="0"/>
          <w:sz w:val="32"/>
        </w:rPr>
      </w:pPr>
      <w:r>
        <w:rPr>
          <w:rFonts w:ascii="DBMOGB+é»ä½" w:hAnsi="DBMOGB+é»ä½" w:cs="DBMOGB+é»ä½"/>
          <w:color w:val="000000"/>
          <w:spacing w:val="1"/>
          <w:sz w:val="32"/>
        </w:rPr>
        <w:t>五、办理程序</w:t>
      </w:r>
    </w:p>
    <w:p w14:paraId="4D6426C0">
      <w:pPr>
        <w:framePr w:w="10272" w:wrap="auto" w:vAnchor="margin" w:hAnchor="text" w:x="1589" w:y="10655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（一）申报：丧事承办人在办理完毕安葬事宜后三个月内到</w:t>
      </w:r>
    </w:p>
    <w:p w14:paraId="6BF9EE56">
      <w:pPr>
        <w:framePr w:w="10272" w:wrap="auto" w:vAnchor="margin" w:hAnchor="text" w:x="1589" w:y="10655"/>
        <w:widowControl w:val="0"/>
        <w:autoSpaceDE w:val="0"/>
        <w:autoSpaceDN w:val="0"/>
        <w:spacing w:before="240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康巴什区民政局办理申报手续，提交证明材料，填写《康巴什区</w:t>
      </w:r>
    </w:p>
    <w:p w14:paraId="4695BAD8">
      <w:pPr>
        <w:framePr w:w="10272" w:wrap="auto" w:vAnchor="margin" w:hAnchor="text" w:x="1589" w:y="10655"/>
        <w:widowControl w:val="0"/>
        <w:autoSpaceDE w:val="0"/>
        <w:autoSpaceDN w:val="0"/>
        <w:spacing w:before="240" w:after="0" w:line="319" w:lineRule="exact"/>
        <w:ind w:left="0" w:right="0" w:firstLine="0"/>
        <w:jc w:val="left"/>
        <w:rPr>
          <w:rFonts w:ascii="ATQBKH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全民普惠殡葬补贴申请表》</w:t>
      </w:r>
      <w:r>
        <w:rPr>
          <w:rFonts w:ascii="ATQBKH+ä»¿å®_GB2312"/>
          <w:color w:val="000000"/>
          <w:spacing w:val="0"/>
          <w:sz w:val="32"/>
        </w:rPr>
        <w:t>;</w:t>
      </w:r>
    </w:p>
    <w:p w14:paraId="35F94603">
      <w:pPr>
        <w:framePr w:w="10143" w:wrap="auto" w:vAnchor="margin" w:hAnchor="text" w:x="1589" w:y="12335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（二）审核：区民政局对符合补贴的资料进行审验，对不符</w:t>
      </w:r>
    </w:p>
    <w:p w14:paraId="79CEC900">
      <w:pPr>
        <w:framePr w:w="10143" w:wrap="auto" w:vAnchor="margin" w:hAnchor="text" w:x="1589" w:y="12335"/>
        <w:widowControl w:val="0"/>
        <w:autoSpaceDE w:val="0"/>
        <w:autoSpaceDN w:val="0"/>
        <w:spacing w:before="240" w:after="0" w:line="319" w:lineRule="exact"/>
        <w:ind w:left="0" w:right="0" w:firstLine="0"/>
        <w:jc w:val="left"/>
        <w:rPr>
          <w:rFonts w:ascii="ATQBKH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合要求的，及时告知丧事承办人</w:t>
      </w:r>
      <w:r>
        <w:rPr>
          <w:rFonts w:ascii="ATQBKH+ä»¿å®_GB2312"/>
          <w:color w:val="000000"/>
          <w:spacing w:val="0"/>
          <w:sz w:val="32"/>
        </w:rPr>
        <w:t>;</w:t>
      </w:r>
    </w:p>
    <w:p w14:paraId="48FB9707">
      <w:pPr>
        <w:framePr w:w="10142" w:wrap="auto" w:vAnchor="margin" w:hAnchor="text" w:x="1589" w:y="13453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（三）发放：审核通过后，由区民政局将一次性补贴资金发</w:t>
      </w:r>
    </w:p>
    <w:p w14:paraId="7971609A">
      <w:pPr>
        <w:framePr w:w="10142" w:wrap="auto" w:vAnchor="margin" w:hAnchor="text" w:x="1589" w:y="13453"/>
        <w:widowControl w:val="0"/>
        <w:autoSpaceDE w:val="0"/>
        <w:autoSpaceDN w:val="0"/>
        <w:spacing w:before="243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放至丧事承办人银行账户。</w:t>
      </w:r>
    </w:p>
    <w:p w14:paraId="7EFFF547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 w14:paraId="37459D99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 w14:paraId="2FACCF94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6FEE54D0">
      <w:pPr>
        <w:framePr w:w="2400" w:wrap="auto" w:vAnchor="margin" w:hAnchor="text" w:x="2227" w:y="2255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DBMOGB+é»ä½"/>
          <w:color w:val="000000"/>
          <w:spacing w:val="0"/>
          <w:sz w:val="32"/>
        </w:rPr>
      </w:pPr>
      <w:r>
        <w:rPr>
          <w:rFonts w:ascii="DBMOGB+é»ä½" w:hAnsi="DBMOGB+é»ä½" w:cs="DBMOGB+é»ä½"/>
          <w:color w:val="000000"/>
          <w:spacing w:val="1"/>
          <w:sz w:val="32"/>
        </w:rPr>
        <w:t>六、其他事项</w:t>
      </w:r>
    </w:p>
    <w:p w14:paraId="00EC2808">
      <w:pPr>
        <w:framePr w:w="10145" w:wrap="auto" w:vAnchor="margin" w:hAnchor="text" w:x="1589" w:y="2814"/>
        <w:widowControl w:val="0"/>
        <w:autoSpaceDE w:val="0"/>
        <w:autoSpaceDN w:val="0"/>
        <w:spacing w:before="0" w:after="0" w:line="319" w:lineRule="exact"/>
        <w:ind w:left="638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（一）任何单位和个人如发现有冒领、骗领殡葬补贴的，除</w:t>
      </w:r>
    </w:p>
    <w:p w14:paraId="04DC4CFD">
      <w:pPr>
        <w:framePr w:w="10145" w:wrap="auto" w:vAnchor="margin" w:hAnchor="text" w:x="1589" w:y="2814"/>
        <w:widowControl w:val="0"/>
        <w:autoSpaceDE w:val="0"/>
        <w:autoSpaceDN w:val="0"/>
        <w:spacing w:before="240" w:after="0" w:line="319" w:lineRule="exact"/>
        <w:ind w:left="0" w:right="0" w:firstLine="0"/>
        <w:jc w:val="left"/>
        <w:rPr>
          <w:rFonts w:ascii="ATQBKH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责令退回补贴资金外，将按照有关法律法规严肃处罚</w:t>
      </w:r>
      <w:r>
        <w:rPr>
          <w:rFonts w:ascii="ATQBKH+ä»¿å®_GB2312"/>
          <w:color w:val="000000"/>
          <w:spacing w:val="0"/>
          <w:sz w:val="32"/>
        </w:rPr>
        <w:t>;</w:t>
      </w:r>
    </w:p>
    <w:p w14:paraId="7DDDBF17">
      <w:pPr>
        <w:framePr w:w="10145" w:wrap="auto" w:vAnchor="margin" w:hAnchor="text" w:x="1589" w:y="2814"/>
        <w:widowControl w:val="0"/>
        <w:autoSpaceDE w:val="0"/>
        <w:autoSpaceDN w:val="0"/>
        <w:spacing w:before="243" w:after="0" w:line="319" w:lineRule="exact"/>
        <w:ind w:left="638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-4"/>
          <w:sz w:val="32"/>
        </w:rPr>
        <w:t>（二）本办法自发布之日起施行，有效期</w:t>
      </w:r>
      <w:r>
        <w:rPr>
          <w:rFonts w:ascii="Times New Roman"/>
          <w:color w:val="000000"/>
          <w:spacing w:val="3"/>
          <w:sz w:val="32"/>
        </w:rPr>
        <w:t xml:space="preserve"> </w:t>
      </w:r>
      <w:r>
        <w:rPr>
          <w:rFonts w:ascii="ATQBKH+ä»¿å®_GB2312"/>
          <w:color w:val="000000"/>
          <w:spacing w:val="0"/>
          <w:sz w:val="32"/>
        </w:rPr>
        <w:t>5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OLFKMF+ä»¿å®_GB2312" w:hAnsi="OLFKMF+ä»¿å®_GB2312" w:cs="OLFKMF+ä»¿å®_GB2312"/>
          <w:color w:val="000000"/>
          <w:spacing w:val="-6"/>
          <w:sz w:val="32"/>
        </w:rPr>
        <w:t>年。本办法由康</w:t>
      </w:r>
    </w:p>
    <w:p w14:paraId="6D919CF7">
      <w:pPr>
        <w:framePr w:w="10145" w:wrap="auto" w:vAnchor="margin" w:hAnchor="text" w:x="1589" w:y="2814"/>
        <w:widowControl w:val="0"/>
        <w:autoSpaceDE w:val="0"/>
        <w:autoSpaceDN w:val="0"/>
        <w:spacing w:before="240" w:after="0" w:line="319" w:lineRule="exact"/>
        <w:ind w:left="0" w:right="0" w:firstLine="0"/>
        <w:jc w:val="left"/>
        <w:rPr>
          <w:rFonts w:ascii="OLFKMF+ä»¿å®_GB2312"/>
          <w:color w:val="000000"/>
          <w:spacing w:val="0"/>
          <w:sz w:val="32"/>
        </w:rPr>
      </w:pPr>
      <w:r>
        <w:rPr>
          <w:rFonts w:ascii="OLFKMF+ä»¿å®_GB2312" w:hAnsi="OLFKMF+ä»¿å®_GB2312" w:cs="OLFKMF+ä»¿å®_GB2312"/>
          <w:color w:val="000000"/>
          <w:spacing w:val="1"/>
          <w:sz w:val="32"/>
        </w:rPr>
        <w:t>巴什区民政局负责解释。</w:t>
      </w:r>
    </w:p>
    <w:p w14:paraId="61D2A861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sectPr>
      <w:pgSz w:w="11900" w:h="16820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  <w:embedRegular r:id="rId1" w:fontKey="{C2A2448E-0CE0-4947-84C7-3F7CBF7F5C34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9D6C49FE-D4F9-4BBA-9B46-66C36940681F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ABC738AD-A1F2-4823-8534-DF53EB3B7C4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36FF8734-94C0-4F3A-BFB4-43B26970F51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FF13117F-5988-4493-9235-7805FEA4DE9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49646E54-55AC-4FE9-90A4-37BCABD3B214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2E4B1190-05F1-48FB-B2F5-24A69290B2BE}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  <w:embedRegular r:id="rId8" w:fontKey="{5B7BB0CB-0DA9-4249-850C-24E95D8F4F0E}"/>
  </w:font>
  <w:font w:name="OLFKMF+ä»¿å®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BAD0ADB3-FA2C-47CA-8ABA-EE8BD00B3A9E}"/>
  </w:font>
  <w:font w:name="ATQBKH+ä»¿å®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0" w:fontKey="{367C3B61-B1F4-4E21-8044-97BCFD334C2A}"/>
  </w:font>
  <w:font w:name="PNUFWW+æ¹æ­£å°æ å®ç®ä½">
    <w:panose1 w:val="03000509000000000000"/>
    <w:charset w:val="86"/>
    <w:family w:val="modern"/>
    <w:pitch w:val="default"/>
    <w:sig w:usb0="00000001" w:usb1="080E0000" w:usb2="00000000" w:usb3="00000000" w:csb0="00040000" w:csb1="00000000"/>
    <w:embedRegular r:id="rId11" w:fontKey="{404C211A-5A2D-494B-BC05-076E3B8BAE2B}"/>
  </w:font>
  <w:font w:name="DNUTBA+å®ä½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HQRMJQ+å®ä½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BMOGB+é»ä½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2" w:fontKey="{E4553622-9C0E-4AEF-8D88-476B50103F5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embedSystemFonts/>
  <w:documentProtection w:enforcement="0"/>
  <w:defaultTabStop w:val="708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5F78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4294967295" w:semiHidden="0" w:name="heading 1"/>
    <w:lsdException w:unhideWhenUsed="0" w:uiPriority="4294967295" w:semiHidden="0" w:name="heading 2"/>
    <w:lsdException w:unhideWhenUsed="0" w:uiPriority="4294967295" w:semiHidden="0" w:name="heading 3"/>
    <w:lsdException w:unhideWhenUsed="0" w:uiPriority="4294967295" w:semiHidden="0" w:name="heading 4"/>
    <w:lsdException w:unhideWhenUsed="0" w:uiPriority="4294967295" w:semiHidden="0" w:name="heading 5"/>
    <w:lsdException w:unhideWhenUsed="0" w:uiPriority="4294967295" w:semiHidden="0" w:name="heading 6"/>
    <w:lsdException w:unhideWhenUsed="0" w:uiPriority="4294967295" w:semiHidden="0" w:name="heading 7"/>
    <w:lsdException w:unhideWhenUsed="0" w:uiPriority="4294967295" w:semiHidden="0" w:name="heading 8"/>
    <w:lsdException w:unhideWhenUsed="0" w:uiPriority="4294967295" w:semiHidden="0" w:name="heading 9"/>
    <w:lsdException w:unhideWhenUsed="0" w:uiPriority="4294967295" w:semiHidden="0" w:name="index 1"/>
    <w:lsdException w:unhideWhenUsed="0" w:uiPriority="4294967295" w:semiHidden="0" w:name="index 2"/>
    <w:lsdException w:unhideWhenUsed="0" w:uiPriority="4294967295" w:semiHidden="0" w:name="index 3"/>
    <w:lsdException w:unhideWhenUsed="0" w:uiPriority="4294967295" w:semiHidden="0" w:name="index 4"/>
    <w:lsdException w:unhideWhenUsed="0" w:uiPriority="4294967295" w:semiHidden="0" w:name="index 5"/>
    <w:lsdException w:unhideWhenUsed="0" w:uiPriority="4294967295" w:semiHidden="0" w:name="index 6"/>
    <w:lsdException w:unhideWhenUsed="0" w:uiPriority="4294967295" w:semiHidden="0" w:name="index 7"/>
    <w:lsdException w:unhideWhenUsed="0" w:uiPriority="4294967295" w:semiHidden="0" w:name="index 8"/>
    <w:lsdException w:unhideWhenUsed="0" w:uiPriority="4294967295" w:semiHidden="0" w:name="index 9"/>
    <w:lsdException w:unhideWhenUsed="0" w:uiPriority="4294967295" w:semiHidden="0" w:name="toc 1"/>
    <w:lsdException w:unhideWhenUsed="0" w:uiPriority="4294967295" w:semiHidden="0" w:name="toc 2"/>
    <w:lsdException w:unhideWhenUsed="0" w:uiPriority="4294967295" w:semiHidden="0" w:name="toc 3"/>
    <w:lsdException w:unhideWhenUsed="0" w:uiPriority="4294967295" w:semiHidden="0" w:name="toc 4"/>
    <w:lsdException w:unhideWhenUsed="0" w:uiPriority="4294967295" w:semiHidden="0" w:name="toc 5"/>
    <w:lsdException w:unhideWhenUsed="0" w:uiPriority="4294967295" w:semiHidden="0" w:name="toc 6"/>
    <w:lsdException w:unhideWhenUsed="0" w:uiPriority="4294967295" w:semiHidden="0" w:name="toc 7"/>
    <w:lsdException w:unhideWhenUsed="0" w:uiPriority="4294967295" w:semiHidden="0" w:name="toc 8"/>
    <w:lsdException w:unhideWhenUsed="0" w:uiPriority="4294967295" w:semiHidden="0" w:name="toc 9"/>
    <w:lsdException w:unhideWhenUsed="0" w:uiPriority="4294967295" w:semiHidden="0" w:name="Normal Indent"/>
    <w:lsdException w:unhideWhenUsed="0" w:uiPriority="4294967295" w:semiHidden="0" w:name="footnote text"/>
    <w:lsdException w:unhideWhenUsed="0" w:uiPriority="4294967295" w:semiHidden="0" w:name="annotation text"/>
    <w:lsdException w:unhideWhenUsed="0" w:uiPriority="4294967295" w:semiHidden="0" w:name="header"/>
    <w:lsdException w:unhideWhenUsed="0" w:uiPriority="4294967295" w:semiHidden="0" w:name="footer"/>
    <w:lsdException w:unhideWhenUsed="0" w:uiPriority="4294967295" w:semiHidden="0" w:name="index heading"/>
    <w:lsdException w:unhideWhenUsed="0" w:uiPriority="4294967295" w:semiHidden="0" w:name="caption"/>
    <w:lsdException w:unhideWhenUsed="0" w:uiPriority="4294967295" w:semiHidden="0" w:name="table of figures"/>
    <w:lsdException w:unhideWhenUsed="0" w:uiPriority="4294967295" w:semiHidden="0" w:name="envelope address"/>
    <w:lsdException w:unhideWhenUsed="0" w:uiPriority="4294967295" w:semiHidden="0" w:name="envelope return"/>
    <w:lsdException w:unhideWhenUsed="0" w:uiPriority="4294967295" w:semiHidden="0" w:name="footnote reference"/>
    <w:lsdException w:unhideWhenUsed="0" w:uiPriority="4294967295" w:semiHidden="0" w:name="annotation reference"/>
    <w:lsdException w:unhideWhenUsed="0" w:uiPriority="4294967295" w:semiHidden="0" w:name="line number"/>
    <w:lsdException w:unhideWhenUsed="0" w:uiPriority="4294967295" w:semiHidden="0" w:name="page number"/>
    <w:lsdException w:unhideWhenUsed="0" w:uiPriority="4294967295" w:semiHidden="0" w:name="endnote reference"/>
    <w:lsdException w:unhideWhenUsed="0" w:uiPriority="4294967295" w:semiHidden="0" w:name="endnote text"/>
    <w:lsdException w:unhideWhenUsed="0" w:uiPriority="4294967295" w:semiHidden="0" w:name="table of authorities"/>
    <w:lsdException w:unhideWhenUsed="0" w:uiPriority="4294967295" w:semiHidden="0" w:name="macro"/>
    <w:lsdException w:unhideWhenUsed="0" w:uiPriority="4294967295" w:semiHidden="0" w:name="toa heading"/>
    <w:lsdException w:unhideWhenUsed="0" w:uiPriority="4294967295" w:semiHidden="0" w:name="List"/>
    <w:lsdException w:unhideWhenUsed="0" w:uiPriority="4294967295" w:semiHidden="0" w:name="List Bullet"/>
    <w:lsdException w:unhideWhenUsed="0" w:uiPriority="4294967295" w:semiHidden="0" w:name="List Number"/>
    <w:lsdException w:unhideWhenUsed="0" w:uiPriority="4294967295" w:semiHidden="0" w:name="List 2"/>
    <w:lsdException w:unhideWhenUsed="0" w:uiPriority="4294967295" w:semiHidden="0" w:name="List 3"/>
    <w:lsdException w:unhideWhenUsed="0" w:uiPriority="4294967295" w:semiHidden="0" w:name="List 4"/>
    <w:lsdException w:unhideWhenUsed="0" w:uiPriority="4294967295" w:semiHidden="0" w:name="List 5"/>
    <w:lsdException w:unhideWhenUsed="0" w:uiPriority="4294967295" w:semiHidden="0" w:name="List Bullet 2"/>
    <w:lsdException w:unhideWhenUsed="0" w:uiPriority="4294967295" w:semiHidden="0" w:name="List Bullet 3"/>
    <w:lsdException w:unhideWhenUsed="0" w:uiPriority="4294967295" w:semiHidden="0" w:name="List Bullet 4"/>
    <w:lsdException w:unhideWhenUsed="0" w:uiPriority="4294967295" w:semiHidden="0" w:name="List Bullet 5"/>
    <w:lsdException w:unhideWhenUsed="0" w:uiPriority="4294967295" w:semiHidden="0" w:name="List Number 2"/>
    <w:lsdException w:unhideWhenUsed="0" w:uiPriority="4294967295" w:semiHidden="0" w:name="List Number 3"/>
    <w:lsdException w:unhideWhenUsed="0" w:uiPriority="4294967295" w:semiHidden="0" w:name="List Number 4"/>
    <w:lsdException w:unhideWhenUsed="0" w:uiPriority="4294967295" w:semiHidden="0" w:name="List Number 5"/>
    <w:lsdException w:unhideWhenUsed="0" w:uiPriority="4294967295" w:semiHidden="0" w:name="Title"/>
    <w:lsdException w:unhideWhenUsed="0" w:uiPriority="4294967295" w:semiHidden="0" w:name="Closing"/>
    <w:lsdException w:unhideWhenUsed="0" w:uiPriority="4294967295" w:semiHidden="0" w:name="Signature"/>
    <w:lsdException w:qFormat="1" w:unhideWhenUsed="0" w:uiPriority="0" w:name="Default Paragraph Font"/>
    <w:lsdException w:unhideWhenUsed="0" w:uiPriority="4294967295" w:semiHidden="0" w:name="Body Text"/>
    <w:lsdException w:unhideWhenUsed="0" w:uiPriority="4294967295" w:semiHidden="0" w:name="Body Text Indent"/>
    <w:lsdException w:unhideWhenUsed="0" w:uiPriority="4294967295" w:semiHidden="0" w:name="List Continue"/>
    <w:lsdException w:unhideWhenUsed="0" w:uiPriority="4294967295" w:semiHidden="0" w:name="List Continue 2"/>
    <w:lsdException w:unhideWhenUsed="0" w:uiPriority="4294967295" w:semiHidden="0" w:name="List Continue 3"/>
    <w:lsdException w:unhideWhenUsed="0" w:uiPriority="4294967295" w:semiHidden="0" w:name="List Continue 4"/>
    <w:lsdException w:unhideWhenUsed="0" w:uiPriority="4294967295" w:semiHidden="0" w:name="List Continue 5"/>
    <w:lsdException w:unhideWhenUsed="0" w:uiPriority="4294967295" w:semiHidden="0" w:name="Message Header"/>
    <w:lsdException w:unhideWhenUsed="0" w:uiPriority="4294967295" w:semiHidden="0" w:name="Subtitle"/>
    <w:lsdException w:unhideWhenUsed="0" w:uiPriority="4294967295" w:semiHidden="0" w:name="Salutation"/>
    <w:lsdException w:unhideWhenUsed="0" w:uiPriority="4294967295" w:semiHidden="0" w:name="Date"/>
    <w:lsdException w:unhideWhenUsed="0" w:uiPriority="4294967295" w:semiHidden="0" w:name="Body Text First Indent"/>
    <w:lsdException w:unhideWhenUsed="0" w:uiPriority="4294967295" w:semiHidden="0" w:name="Body Text First Indent 2"/>
    <w:lsdException w:unhideWhenUsed="0" w:uiPriority="4294967295" w:semiHidden="0" w:name="Note Heading"/>
    <w:lsdException w:unhideWhenUsed="0" w:uiPriority="4294967295" w:semiHidden="0" w:name="Body Text 2"/>
    <w:lsdException w:unhideWhenUsed="0" w:uiPriority="4294967295" w:semiHidden="0" w:name="Body Text 3"/>
    <w:lsdException w:unhideWhenUsed="0" w:uiPriority="4294967295" w:semiHidden="0" w:name="Body Text Indent 2"/>
    <w:lsdException w:unhideWhenUsed="0" w:uiPriority="4294967295" w:semiHidden="0" w:name="Body Text Indent 3"/>
    <w:lsdException w:unhideWhenUsed="0" w:uiPriority="4294967295" w:semiHidden="0" w:name="Block Text"/>
    <w:lsdException w:unhideWhenUsed="0" w:uiPriority="4294967295" w:semiHidden="0" w:name="Hyperlink"/>
    <w:lsdException w:unhideWhenUsed="0" w:uiPriority="4294967295" w:semiHidden="0" w:name="FollowedHyperlink"/>
    <w:lsdException w:unhideWhenUsed="0" w:uiPriority="4294967295" w:semiHidden="0" w:name="Strong"/>
    <w:lsdException w:unhideWhenUsed="0" w:uiPriority="4294967295" w:semiHidden="0" w:name="Emphasis"/>
    <w:lsdException w:unhideWhenUsed="0" w:uiPriority="4294967295" w:semiHidden="0" w:name="Document Map"/>
    <w:lsdException w:unhideWhenUsed="0" w:uiPriority="4294967295" w:semiHidden="0" w:name="Plain Text"/>
    <w:lsdException w:unhideWhenUsed="0" w:uiPriority="4294967295" w:semiHidden="0" w:name="E-mail Signature"/>
    <w:lsdException w:unhideWhenUsed="0" w:uiPriority="4294967295" w:semiHidden="0" w:name="Normal (Web)"/>
    <w:lsdException w:unhideWhenUsed="0" w:uiPriority="4294967295" w:semiHidden="0" w:name="HTML Acronym"/>
    <w:lsdException w:unhideWhenUsed="0" w:uiPriority="4294967295" w:semiHidden="0" w:name="HTML Address"/>
    <w:lsdException w:unhideWhenUsed="0" w:uiPriority="4294967295" w:semiHidden="0" w:name="HTML Cite"/>
    <w:lsdException w:unhideWhenUsed="0" w:uiPriority="4294967295" w:semiHidden="0" w:name="HTML Code"/>
    <w:lsdException w:unhideWhenUsed="0" w:uiPriority="4294967295" w:semiHidden="0" w:name="HTML Definition"/>
    <w:lsdException w:unhideWhenUsed="0" w:uiPriority="4294967295" w:semiHidden="0" w:name="HTML Keyboard"/>
    <w:lsdException w:unhideWhenUsed="0" w:uiPriority="4294967295" w:semiHidden="0" w:name="HTML Preformatted"/>
    <w:lsdException w:unhideWhenUsed="0" w:uiPriority="4294967295" w:semiHidden="0" w:name="HTML Sample"/>
    <w:lsdException w:unhideWhenUsed="0" w:uiPriority="4294967295" w:semiHidden="0" w:name="HTML Typewriter"/>
    <w:lsdException w:unhideWhenUsed="0" w:uiPriority="4294967295" w:semiHidden="0" w:name="HTML Variable"/>
    <w:lsdException w:unhideWhenUsed="0" w:uiPriority="4294967295" w:semiHidden="0" w:name="Normal Table"/>
    <w:lsdException w:unhideWhenUsed="0" w:uiPriority="4294967295" w:semiHidden="0" w:name="annotation subject"/>
    <w:lsdException w:qFormat="1" w:unhideWhenUsed="0" w:uiPriority="0" w:name="No List"/>
    <w:lsdException w:unhideWhenUsed="0" w:uiPriority="4294967295" w:semiHidden="0" w:name="Table Simple 1"/>
    <w:lsdException w:unhideWhenUsed="0" w:uiPriority="4294967295" w:semiHidden="0" w:name="Table Simple 2"/>
    <w:lsdException w:unhideWhenUsed="0" w:uiPriority="4294967295" w:semiHidden="0" w:name="Table Simple 3"/>
    <w:lsdException w:unhideWhenUsed="0" w:uiPriority="4294967295" w:semiHidden="0" w:name="Table Classic 1"/>
    <w:lsdException w:unhideWhenUsed="0" w:uiPriority="4294967295" w:semiHidden="0" w:name="Table Classic 2"/>
    <w:lsdException w:unhideWhenUsed="0" w:uiPriority="4294967295" w:semiHidden="0" w:name="Table Classic 3"/>
    <w:lsdException w:unhideWhenUsed="0" w:uiPriority="4294967295" w:semiHidden="0" w:name="Table Classic 4"/>
    <w:lsdException w:unhideWhenUsed="0" w:uiPriority="4294967295" w:semiHidden="0" w:name="Table Colorful 1"/>
    <w:lsdException w:unhideWhenUsed="0" w:uiPriority="4294967295" w:semiHidden="0" w:name="Table Colorful 2"/>
    <w:lsdException w:unhideWhenUsed="0" w:uiPriority="4294967295" w:semiHidden="0" w:name="Table Colorful 3"/>
    <w:lsdException w:unhideWhenUsed="0" w:uiPriority="4294967295" w:semiHidden="0" w:name="Table Columns 1"/>
    <w:lsdException w:unhideWhenUsed="0" w:uiPriority="4294967295" w:semiHidden="0" w:name="Table Columns 2"/>
    <w:lsdException w:unhideWhenUsed="0" w:uiPriority="4294967295" w:semiHidden="0" w:name="Table Columns 3"/>
    <w:lsdException w:unhideWhenUsed="0" w:uiPriority="4294967295" w:semiHidden="0" w:name="Table Columns 4"/>
    <w:lsdException w:unhideWhenUsed="0" w:uiPriority="4294967295" w:semiHidden="0" w:name="Table Columns 5"/>
    <w:lsdException w:unhideWhenUsed="0" w:uiPriority="4294967295" w:semiHidden="0" w:name="Table Grid 1"/>
    <w:lsdException w:unhideWhenUsed="0" w:uiPriority="4294967295" w:semiHidden="0" w:name="Table Grid 2"/>
    <w:lsdException w:unhideWhenUsed="0" w:uiPriority="4294967295" w:semiHidden="0" w:name="Table Grid 3"/>
    <w:lsdException w:unhideWhenUsed="0" w:uiPriority="4294967295" w:semiHidden="0" w:name="Table Grid 4"/>
    <w:lsdException w:unhideWhenUsed="0" w:uiPriority="4294967295" w:semiHidden="0" w:name="Table Grid 5"/>
    <w:lsdException w:unhideWhenUsed="0" w:uiPriority="4294967295" w:semiHidden="0" w:name="Table Grid 6"/>
    <w:lsdException w:unhideWhenUsed="0" w:uiPriority="4294967295" w:semiHidden="0" w:name="Table Grid 7"/>
    <w:lsdException w:unhideWhenUsed="0" w:uiPriority="4294967295" w:semiHidden="0" w:name="Table Grid 8"/>
    <w:lsdException w:unhideWhenUsed="0" w:uiPriority="4294967295" w:semiHidden="0" w:name="Table List 1"/>
    <w:lsdException w:unhideWhenUsed="0" w:uiPriority="4294967295" w:semiHidden="0" w:name="Table List 2"/>
    <w:lsdException w:unhideWhenUsed="0" w:uiPriority="4294967295" w:semiHidden="0" w:name="Table List 3"/>
    <w:lsdException w:unhideWhenUsed="0" w:uiPriority="4294967295" w:semiHidden="0" w:name="Table List 4"/>
    <w:lsdException w:unhideWhenUsed="0" w:uiPriority="4294967295" w:semiHidden="0" w:name="Table List 5"/>
    <w:lsdException w:unhideWhenUsed="0" w:uiPriority="4294967295" w:semiHidden="0" w:name="Table List 6"/>
    <w:lsdException w:unhideWhenUsed="0" w:uiPriority="4294967295" w:semiHidden="0" w:name="Table List 7"/>
    <w:lsdException w:unhideWhenUsed="0" w:uiPriority="4294967295" w:semiHidden="0" w:name="Table List 8"/>
    <w:lsdException w:unhideWhenUsed="0" w:uiPriority="4294967295" w:semiHidden="0" w:name="Table 3D effects 1"/>
    <w:lsdException w:unhideWhenUsed="0" w:uiPriority="4294967295" w:semiHidden="0" w:name="Table 3D effects 2"/>
    <w:lsdException w:unhideWhenUsed="0" w:uiPriority="4294967295" w:semiHidden="0" w:name="Table 3D effects 3"/>
    <w:lsdException w:unhideWhenUsed="0" w:uiPriority="4294967295" w:semiHidden="0" w:name="Table Contemporary"/>
    <w:lsdException w:unhideWhenUsed="0" w:uiPriority="4294967295" w:semiHidden="0" w:name="Table Elegant"/>
    <w:lsdException w:unhideWhenUsed="0" w:uiPriority="4294967295" w:semiHidden="0" w:name="Table Professional"/>
    <w:lsdException w:unhideWhenUsed="0" w:uiPriority="4294967295" w:semiHidden="0" w:name="Table Subtle 1"/>
    <w:lsdException w:unhideWhenUsed="0" w:uiPriority="4294967295" w:semiHidden="0" w:name="Table Subtle 2"/>
    <w:lsdException w:unhideWhenUsed="0" w:uiPriority="4294967295" w:semiHidden="0" w:name="Table Web 1"/>
    <w:lsdException w:unhideWhenUsed="0" w:uiPriority="4294967295" w:semiHidden="0" w:name="Table Web 2"/>
    <w:lsdException w:unhideWhenUsed="0" w:uiPriority="4294967295" w:semiHidden="0" w:name="Table Web 3"/>
    <w:lsdException w:unhideWhenUsed="0" w:uiPriority="4294967295" w:semiHidden="0" w:name="Balloon Text"/>
    <w:lsdException w:unhideWhenUsed="0" w:uiPriority="4294967295" w:semiHidden="0" w:name="Table Grid"/>
    <w:lsdException w:unhideWhenUsed="0" w:uiPriority="4294967295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"/>
    <w:uiPriority w:val="0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3">
    <w:name w:val="Default Paragraph Font"/>
    <w:link w:val="1"/>
    <w:semiHidden/>
    <w:qFormat/>
    <w:uiPriority w:val="0"/>
  </w:style>
  <w:style w:type="table" w:default="1" w:styleId="2">
    <w:name w:val="Normal Table"/>
    <w:uiPriority w:val="4294967295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5">
    <w:name w:val="No List"/>
    <w:semiHidden/>
    <w:qFormat/>
    <w:uiPriority w:val="0"/>
    <w:rPr>
      <w:sz w:val="21"/>
      <w:szCs w:val="22"/>
    </w:rPr>
  </w:style>
  <w:style w:type="table" w:customStyle="1" w:styleId="4">
    <w:name w:val="Table Normal"/>
    <w:semiHidden/>
    <w:qFormat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Aspose</Company>
  <Pages>4</Pages>
  <Words>1236</Words>
  <Characters>1266</Characters>
  <Lines>65</Lines>
  <Paragraphs>65</Paragraphs>
  <TotalTime>4</TotalTime>
  <ScaleCrop>false</ScaleCrop>
  <LinksUpToDate>false</LinksUpToDate>
  <CharactersWithSpaces>1302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2025-06-20T00:35:00Z</dcterms:created>
  <dc:creator>s6.aconvert.com</dc:creator>
  <cp:lastModifiedBy>芳</cp:lastModifiedBy>
  <dcterms:modified xsi:type="dcterms:W3CDTF">2025-06-20T09:01:43Z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eyJoZGlkIjoiZTI2ZmEzZDQ3OTEzYmIwMGE2MmEwMGI1YjNiZDE0YjciLCJ1c2VySWQiOiI0NjA0ODg2MDIifQ==</vt:lpwstr>
  </property>
  <property fmtid="{D5CDD505-2E9C-101B-9397-08002B2CF9AE}" pid="3" name="KSOProductBuildVer">
    <vt:lpwstr>2052-12.1.0.21541</vt:lpwstr>
  </property>
  <property fmtid="{D5CDD505-2E9C-101B-9397-08002B2CF9AE}" pid="4" name="ICV">
    <vt:lpwstr>5AC7DE06BE9C49648E48B65BA11C60A8_13</vt:lpwstr>
  </property>
</Properties>
</file>