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康巴什区国有</w:t>
      </w:r>
      <w:bookmarkStart w:id="0" w:name="_GoBack"/>
      <w:bookmarkEnd w:id="0"/>
      <w:r>
        <w:rPr>
          <w:rFonts w:hint="eastAsia" w:ascii="方正小标宋简体" w:hAnsi="方正小标宋简体" w:eastAsia="方正小标宋简体" w:cs="方正小标宋简体"/>
          <w:sz w:val="44"/>
          <w:szCs w:val="44"/>
          <w:lang w:val="en-US" w:eastAsia="zh-CN"/>
        </w:rPr>
        <w:t>资本经营预算管理办法</w:t>
      </w: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（征求意见稿）</w:t>
      </w:r>
    </w:p>
    <w:p>
      <w:pPr>
        <w:jc w:val="center"/>
        <w:rPr>
          <w:rFonts w:hint="eastAsia" w:ascii="黑体" w:hAnsi="黑体" w:eastAsia="黑体" w:cs="黑体"/>
          <w:sz w:val="32"/>
          <w:szCs w:val="32"/>
          <w:lang w:val="en-US" w:eastAsia="zh-CN"/>
        </w:rPr>
      </w:pPr>
    </w:p>
    <w:p>
      <w:pPr>
        <w:numPr>
          <w:ilvl w:val="0"/>
          <w:numId w:val="0"/>
        </w:numPr>
        <w:ind w:firstLine="3520" w:firstLineChars="11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第一章 总 则</w:t>
      </w:r>
    </w:p>
    <w:p>
      <w:pPr>
        <w:numPr>
          <w:ilvl w:val="0"/>
          <w:numId w:val="0"/>
        </w:numPr>
        <w:jc w:val="both"/>
        <w:rPr>
          <w:rFonts w:hint="eastAsia" w:ascii="方正小标宋简体" w:hAnsi="方正小标宋简体" w:eastAsia="方正小标宋简体" w:cs="方正小标宋简体"/>
          <w:sz w:val="32"/>
          <w:szCs w:val="32"/>
          <w:lang w:val="en-US" w:eastAsia="zh-CN"/>
        </w:rPr>
      </w:pPr>
    </w:p>
    <w:p>
      <w:pPr>
        <w:numPr>
          <w:ilvl w:val="0"/>
          <w:numId w:val="0"/>
        </w:numPr>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第一条  </w:t>
      </w:r>
      <w:r>
        <w:rPr>
          <w:rFonts w:hint="eastAsia" w:ascii="仿宋_GB2312" w:hAnsi="仿宋_GB2312" w:eastAsia="仿宋_GB2312" w:cs="仿宋_GB2312"/>
          <w:sz w:val="32"/>
          <w:szCs w:val="32"/>
          <w:lang w:val="en-US" w:eastAsia="zh-CN"/>
        </w:rPr>
        <w:t>为加强和规范区本级国有资本经营预算管理，推进国有经济布局优化和结构调整，根据《中华人民共和国预算法》、《中华人民共和国企业国有资产法》、《中华人民共和国预算法实施条例》、《国务院关于进一步完善国有资本经营预算制度的意见》（国发〔2024〕2号）、《内蒙古自治区人民政府关于印发&lt;内蒙古自治区本级国有资本经营预算管理办法&gt;的通知》（内政发〔2024〕21号）、《鄂尔多斯市财政局关于印发〈鄂尔多斯市本级国有资本经营预算管理办法〉的通知》（鄂财工规发〔2023〕3号）等有关政策规定，紧紧围绕贯彻铸牢中华民族共同体意识工作主线要求，结合康巴什区实际，制定本办法。</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第二条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本级国有资本经营预算，是指</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人民政府以所有者身份依法取得国有资本收益，并对所得收益进行分配而发生的各项收支预算。</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第三条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eastAsia="zh-CN"/>
        </w:rPr>
        <w:t>本办法适用</w:t>
      </w:r>
      <w:r>
        <w:rPr>
          <w:rFonts w:hint="eastAsia" w:ascii="仿宋_GB2312" w:hAnsi="仿宋_GB2312" w:eastAsia="仿宋_GB2312" w:cs="仿宋_GB2312"/>
          <w:sz w:val="32"/>
          <w:szCs w:val="32"/>
          <w:lang w:val="en-US" w:eastAsia="zh-CN"/>
        </w:rPr>
        <w:t>于康巴什区财政局、康巴什区</w:t>
      </w:r>
      <w:r>
        <w:rPr>
          <w:rFonts w:hint="eastAsia" w:ascii="仿宋_GB2312" w:hAnsi="仿宋_GB2312" w:eastAsia="仿宋_GB2312" w:cs="仿宋_GB2312"/>
          <w:sz w:val="32"/>
          <w:szCs w:val="32"/>
          <w:lang w:eastAsia="zh-CN"/>
        </w:rPr>
        <w:t>本级国有资本经营预算单位（以下简称国资预算单位）和</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本级国有资本经营预算企业（以下简称国资预算企业）国有资本经营预算的编制、执行、调整、决算、绩效管理、监督等事项。</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本办法所称国资预算单位，是指</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人民政府授权履行出资人职责的机构、部门单位以及出资设立企业的党政机关和事业单位。</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本办法所称国资预算企业，是指纳入</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本级国有资本经营预算实施范围的</w:t>
      </w:r>
      <w:r>
        <w:rPr>
          <w:rFonts w:hint="eastAsia" w:ascii="仿宋_GB2312" w:hAnsi="仿宋_GB2312" w:eastAsia="仿宋_GB2312" w:cs="仿宋_GB2312"/>
          <w:sz w:val="32"/>
          <w:szCs w:val="32"/>
          <w:lang w:val="en-US" w:eastAsia="zh-CN"/>
        </w:rPr>
        <w:t>康巴什区</w:t>
      </w:r>
      <w:r>
        <w:rPr>
          <w:rFonts w:hint="default" w:ascii="仿宋_GB2312" w:hAnsi="仿宋_GB2312" w:eastAsia="仿宋_GB2312" w:cs="仿宋_GB2312"/>
          <w:sz w:val="32"/>
          <w:szCs w:val="32"/>
          <w:lang w:val="en-US" w:eastAsia="zh-CN"/>
        </w:rPr>
        <w:t>本级</w:t>
      </w:r>
      <w:r>
        <w:rPr>
          <w:rFonts w:hint="eastAsia" w:ascii="仿宋_GB2312" w:hAnsi="仿宋_GB2312" w:eastAsia="仿宋_GB2312" w:cs="仿宋_GB2312"/>
          <w:sz w:val="32"/>
          <w:szCs w:val="32"/>
          <w:lang w:eastAsia="zh-CN"/>
        </w:rPr>
        <w:t>国有一级企业，包括国有独资企业（公司）、国有控股企业和国有参股企业。</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第四条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b w:val="0"/>
          <w:bCs w:val="0"/>
          <w:sz w:val="32"/>
          <w:szCs w:val="32"/>
          <w:lang w:eastAsia="zh-CN"/>
        </w:rPr>
        <w:t>党</w:t>
      </w:r>
      <w:r>
        <w:rPr>
          <w:rFonts w:hint="eastAsia" w:ascii="仿宋_GB2312" w:hAnsi="仿宋_GB2312" w:eastAsia="仿宋_GB2312" w:cs="仿宋_GB2312"/>
          <w:sz w:val="32"/>
          <w:szCs w:val="32"/>
          <w:lang w:eastAsia="zh-CN"/>
        </w:rPr>
        <w:t>政机关和事业单位直接出资以及授权其他部门单位代为出资或持股的企业均应当纳入</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本级国有资本经营预算实施范围，包括</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本级国有金融企业、企业化管理的事业单位。</w:t>
      </w:r>
    </w:p>
    <w:p>
      <w:pPr>
        <w:widowControl w:val="0"/>
        <w:wordWrap/>
        <w:adjustRightInd/>
        <w:snapToGrid/>
        <w:spacing w:line="560" w:lineRule="exact"/>
        <w:ind w:firstLine="642" w:firstLineChars="200"/>
        <w:textAlignment w:val="auto"/>
        <w:rPr>
          <w:rFonts w:hint="eastAsia" w:ascii="方正仿宋_GBK" w:hAnsi="方正仿宋_GBK" w:eastAsia="方正仿宋_GBK" w:cs="方正仿宋_GBK"/>
          <w:sz w:val="32"/>
          <w:szCs w:val="32"/>
        </w:rPr>
      </w:pPr>
      <w:r>
        <w:rPr>
          <w:rFonts w:hint="eastAsia" w:ascii="仿宋_GB2312" w:hAnsi="仿宋_GB2312" w:eastAsia="仿宋_GB2312" w:cs="仿宋_GB2312"/>
          <w:b/>
          <w:bCs/>
          <w:sz w:val="32"/>
          <w:szCs w:val="32"/>
          <w:lang w:eastAsia="zh-CN"/>
        </w:rPr>
        <w:t>第五条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区属</w:t>
      </w:r>
      <w:r>
        <w:rPr>
          <w:rFonts w:hint="eastAsia" w:ascii="仿宋_GB2312" w:hAnsi="仿宋_GB2312" w:eastAsia="仿宋_GB2312" w:cs="仿宋_GB2312"/>
          <w:b w:val="0"/>
          <w:bCs w:val="0"/>
          <w:sz w:val="32"/>
          <w:szCs w:val="32"/>
          <w:lang w:eastAsia="zh-CN"/>
        </w:rPr>
        <w:t>国有企业出资设立，但未纳入其（集团）年度财务决算合并范围</w:t>
      </w:r>
      <w:r>
        <w:rPr>
          <w:rFonts w:hint="eastAsia" w:ascii="仿宋_GB2312" w:hAnsi="仿宋_GB2312" w:eastAsia="仿宋_GB2312" w:cs="仿宋_GB2312"/>
          <w:sz w:val="32"/>
          <w:szCs w:val="32"/>
          <w:lang w:eastAsia="zh-CN"/>
        </w:rPr>
        <w:t>的国有独资、控股企业，视为一级企业，应当纳入</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本级国有资本经营预算实施范围。</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第六条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b w:val="0"/>
          <w:bCs w:val="0"/>
          <w:sz w:val="32"/>
          <w:szCs w:val="32"/>
          <w:lang w:eastAsia="zh-CN"/>
        </w:rPr>
        <w:t>本</w:t>
      </w:r>
      <w:r>
        <w:rPr>
          <w:rFonts w:hint="eastAsia" w:ascii="仿宋_GB2312" w:hAnsi="仿宋_GB2312" w:eastAsia="仿宋_GB2312" w:cs="仿宋_GB2312"/>
          <w:sz w:val="32"/>
          <w:szCs w:val="32"/>
          <w:lang w:eastAsia="zh-CN"/>
        </w:rPr>
        <w:t>级国有资本经营预算管理坚持全面覆盖、独立完整、以收定支、收支平衡原则，加强与一般公共预算衔接，加大向一般公共预算调出力度。</w:t>
      </w:r>
    </w:p>
    <w:p>
      <w:pPr>
        <w:widowControl w:val="0"/>
        <w:wordWrap/>
        <w:adjustRightInd/>
        <w:snapToGrid/>
        <w:spacing w:line="560" w:lineRule="exact"/>
        <w:ind w:right="0" w:firstLine="0" w:firstLineChars="0"/>
        <w:jc w:val="center"/>
        <w:textAlignment w:val="auto"/>
        <w:rPr>
          <w:rFonts w:hint="eastAsia" w:ascii="Times New Roman" w:hAnsi="Times New Roman" w:eastAsia="黑体" w:cs="Times New Roman"/>
          <w:b w:val="0"/>
          <w:bCs w:val="0"/>
          <w:color w:val="000000"/>
          <w:spacing w:val="0"/>
          <w:w w:val="100"/>
          <w:kern w:val="0"/>
          <w:sz w:val="32"/>
          <w:szCs w:val="32"/>
          <w:u w:val="none"/>
          <w:lang w:val="en-US" w:eastAsia="zh-CN"/>
        </w:rPr>
      </w:pPr>
    </w:p>
    <w:p>
      <w:pPr>
        <w:numPr>
          <w:ilvl w:val="0"/>
          <w:numId w:val="0"/>
        </w:numPr>
        <w:ind w:firstLine="3200" w:firstLineChars="10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管理职责</w:t>
      </w:r>
    </w:p>
    <w:p>
      <w:pPr>
        <w:widowControl w:val="0"/>
        <w:wordWrap/>
        <w:adjustRightInd/>
        <w:snapToGrid/>
        <w:spacing w:line="560" w:lineRule="exact"/>
        <w:ind w:firstLine="642" w:firstLineChars="200"/>
        <w:jc w:val="center"/>
        <w:textAlignment w:val="auto"/>
        <w:rPr>
          <w:rFonts w:hint="eastAsia" w:ascii="方正仿宋_GBK" w:hAnsi="方正仿宋_GBK" w:eastAsia="方正仿宋_GBK" w:cs="方正仿宋_GBK"/>
          <w:b/>
          <w:bCs/>
          <w:sz w:val="32"/>
          <w:szCs w:val="32"/>
        </w:rPr>
      </w:pP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第七条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val="0"/>
          <w:bCs w:val="0"/>
          <w:sz w:val="32"/>
          <w:szCs w:val="32"/>
          <w:lang w:val="en-US" w:eastAsia="zh-CN"/>
        </w:rPr>
        <w:t>康巴什区</w:t>
      </w:r>
      <w:r>
        <w:rPr>
          <w:rFonts w:hint="eastAsia" w:ascii="仿宋_GB2312" w:hAnsi="仿宋_GB2312" w:eastAsia="仿宋_GB2312" w:cs="仿宋_GB2312"/>
          <w:b w:val="0"/>
          <w:bCs w:val="0"/>
          <w:sz w:val="32"/>
          <w:szCs w:val="32"/>
          <w:lang w:eastAsia="zh-CN"/>
        </w:rPr>
        <w:t>本级</w:t>
      </w:r>
      <w:r>
        <w:rPr>
          <w:rFonts w:hint="eastAsia" w:ascii="仿宋_GB2312" w:hAnsi="仿宋_GB2312" w:eastAsia="仿宋_GB2312" w:cs="仿宋_GB2312"/>
          <w:sz w:val="32"/>
          <w:szCs w:val="32"/>
          <w:lang w:eastAsia="zh-CN"/>
        </w:rPr>
        <w:t>国有资本经营预算管理由</w:t>
      </w:r>
      <w:r>
        <w:rPr>
          <w:rFonts w:hint="eastAsia" w:ascii="仿宋_GB2312" w:hAnsi="仿宋_GB2312" w:eastAsia="仿宋_GB2312" w:cs="仿宋_GB2312"/>
          <w:b w:val="0"/>
          <w:bCs w:val="0"/>
          <w:sz w:val="32"/>
          <w:szCs w:val="32"/>
          <w:lang w:val="en-US" w:eastAsia="zh-CN"/>
        </w:rPr>
        <w:t>康巴什区</w:t>
      </w:r>
      <w:r>
        <w:rPr>
          <w:rFonts w:hint="eastAsia" w:ascii="仿宋_GB2312" w:hAnsi="仿宋_GB2312" w:eastAsia="仿宋_GB2312" w:cs="仿宋_GB2312"/>
          <w:sz w:val="32"/>
          <w:szCs w:val="32"/>
          <w:lang w:val="en-US" w:eastAsia="zh-CN"/>
        </w:rPr>
        <w:t>财政局</w:t>
      </w:r>
      <w:r>
        <w:rPr>
          <w:rFonts w:hint="eastAsia" w:ascii="仿宋_GB2312" w:hAnsi="仿宋_GB2312" w:eastAsia="仿宋_GB2312" w:cs="仿宋_GB2312"/>
          <w:sz w:val="32"/>
          <w:szCs w:val="32"/>
          <w:lang w:eastAsia="zh-CN"/>
        </w:rPr>
        <w:t>、国资预算单位和国资预算企业各司其职，共同负责。</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第八条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sz w:val="32"/>
          <w:szCs w:val="32"/>
          <w:lang w:val="en-US" w:eastAsia="zh-CN"/>
        </w:rPr>
        <w:t>财政局</w:t>
      </w:r>
      <w:r>
        <w:rPr>
          <w:rFonts w:hint="eastAsia" w:ascii="仿宋_GB2312" w:hAnsi="仿宋_GB2312" w:eastAsia="仿宋_GB2312" w:cs="仿宋_GB2312"/>
          <w:sz w:val="32"/>
          <w:szCs w:val="32"/>
          <w:lang w:eastAsia="zh-CN"/>
        </w:rPr>
        <w:t>工作职责：</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（一）汇总建立</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本级国有企业名录；</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（二）制定</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本级国有资本经营预算管理的相关制度；</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（三）组织</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本级国有资本经营预算收入；</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highlight w:val="none"/>
          <w:lang w:eastAsia="zh-CN"/>
        </w:rPr>
        <w:t>拟定</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highlight w:val="none"/>
          <w:lang w:eastAsia="zh-CN"/>
        </w:rPr>
        <w:t>本级国有资本经营预算支出方向和重点；</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（五）负责审核和编制</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lang w:eastAsia="zh-CN"/>
        </w:rPr>
        <w:t>本级国有资本经营预算、调整预算和决算草案，并按规定报送审议；</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（六）根据年度预算实际收支情况编制预算调整方案，履行预算调整程序；</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（七）批复国资预算单位国有资本经营预（决）算；</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（八）指导国资预算单位和国资预算企业实施全过程绩效管理；</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（九）对</w:t>
      </w:r>
      <w:r>
        <w:rPr>
          <w:rFonts w:hint="eastAsia" w:ascii="仿宋_GB2312" w:hAnsi="仿宋_GB2312" w:eastAsia="仿宋_GB2312" w:cs="仿宋_GB2312"/>
          <w:sz w:val="32"/>
          <w:szCs w:val="32"/>
          <w:highlight w:val="none"/>
          <w:lang w:val="en-US" w:eastAsia="zh-CN"/>
        </w:rPr>
        <w:t>区</w:t>
      </w:r>
      <w:r>
        <w:rPr>
          <w:rFonts w:hint="eastAsia" w:ascii="仿宋_GB2312" w:hAnsi="仿宋_GB2312" w:eastAsia="仿宋_GB2312" w:cs="仿宋_GB2312"/>
          <w:sz w:val="32"/>
          <w:szCs w:val="32"/>
          <w:lang w:eastAsia="zh-CN"/>
        </w:rPr>
        <w:t>本级国有资本经营预算管理情况进行财会监督。</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第九条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eastAsia="zh-CN"/>
        </w:rPr>
        <w:t>国资预算单位工作职责：</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（一）定期统计出资企业数量、资产权益、损益等情况，建立所出资国有企业名录，并结合经营性国有资产集中统一监管动态更新，涉及名录调整的应当及时报</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（二）组织监管（所属）企业编报国有资本经营预算收支计划并进行审核，提出本部门单位年度国有资本经营预算建议草案；</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（三）审核监管（所属）企业报送的国有资本经营收益材料，组织本部门单位、监管（所属）企业国有资本经营预算的执行；</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（四）根据监管（所属）企业预算执行和实际收支情况，履行报请调整预算程序；</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（五）编制本部门单位国有资本经营决算草案；</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（六）批复所监管（所属）企业国有资本经营预（决）算；</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（七）负责本部门单位国有资本经营预算全过程绩效管理；</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（八）对监管（所属）企业国有资本经营预算管理情况进行财会监督。</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第十条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eastAsia="zh-CN"/>
        </w:rPr>
        <w:t>国资预算企业工作职责：</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（一）根据预算编制要求提出国有资本经营预算收支计划；</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（二）按照规定申报、上交国有资本经营预算收入；</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（三）根据国有资本经营预算批复安排支出，报告国有资本经营预算执行、决算、绩效管理等情况，依法接受监督；</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（四）建立健全企业内部国有资本经营预算的资金管理制度和审计制度，规范资金核算，确保资金按规定用途使用。</w:t>
      </w:r>
    </w:p>
    <w:p>
      <w:pPr>
        <w:widowControl w:val="0"/>
        <w:wordWrap/>
        <w:adjustRightInd/>
        <w:snapToGrid/>
        <w:spacing w:line="560" w:lineRule="exact"/>
        <w:ind w:firstLine="640" w:firstLineChars="200"/>
        <w:textAlignment w:val="auto"/>
        <w:rPr>
          <w:rFonts w:hint="eastAsia" w:ascii="方正仿宋_GBK" w:hAnsi="方正仿宋_GBK" w:eastAsia="方正仿宋_GBK" w:cs="方正仿宋_GBK"/>
          <w:sz w:val="32"/>
          <w:szCs w:val="32"/>
        </w:rPr>
      </w:pPr>
    </w:p>
    <w:p>
      <w:pPr>
        <w:numPr>
          <w:ilvl w:val="0"/>
          <w:numId w:val="0"/>
        </w:numPr>
        <w:ind w:firstLine="3200" w:firstLineChars="10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收支范围</w:t>
      </w:r>
    </w:p>
    <w:p>
      <w:pPr>
        <w:widowControl w:val="0"/>
        <w:wordWrap/>
        <w:adjustRightInd/>
        <w:snapToGrid/>
        <w:spacing w:line="560" w:lineRule="exact"/>
        <w:ind w:firstLine="640" w:firstLineChars="200"/>
        <w:textAlignment w:val="auto"/>
        <w:rPr>
          <w:rFonts w:hint="eastAsia" w:ascii="方正黑体_GBK" w:hAnsi="方正黑体_GBK" w:eastAsia="方正黑体_GBK" w:cs="方正黑体_GBK"/>
          <w:sz w:val="32"/>
          <w:szCs w:val="32"/>
        </w:rPr>
      </w:pP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第十一条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本级国有资本经营预算收入是国资预算单位、国资预算企业上交，并纳入国有资本经营预算管理的国有资本收益，主要包括：</w:t>
      </w:r>
    </w:p>
    <w:p>
      <w:pPr>
        <w:widowControl w:val="0"/>
        <w:numPr>
          <w:ilvl w:val="0"/>
          <w:numId w:val="1"/>
        </w:numPr>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应交利润收入。</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属国有独资企业（公司）的应交利润，以经审计的年度合并财务报表反映的归属于母公司所有者的净利润为基础，依法扣除以前年度未弥补亏损、提取的法定公积金等后，</w:t>
      </w:r>
      <w:r>
        <w:rPr>
          <w:rFonts w:hint="eastAsia" w:ascii="仿宋_GB2312" w:hAnsi="仿宋_GB2312" w:eastAsia="仿宋_GB2312" w:cs="仿宋_GB2312"/>
          <w:color w:val="auto"/>
          <w:sz w:val="32"/>
          <w:szCs w:val="32"/>
          <w:lang w:eastAsia="zh-CN"/>
        </w:rPr>
        <w:t>按</w:t>
      </w:r>
      <w:r>
        <w:rPr>
          <w:rFonts w:hint="eastAsia" w:ascii="仿宋_GB2312" w:hAnsi="仿宋_GB2312" w:eastAsia="仿宋_GB2312" w:cs="仿宋_GB2312"/>
          <w:color w:val="auto"/>
          <w:sz w:val="32"/>
          <w:szCs w:val="32"/>
          <w:lang w:val="en-US" w:eastAsia="zh-CN"/>
        </w:rPr>
        <w:t>净利润30%</w:t>
      </w:r>
      <w:r>
        <w:rPr>
          <w:rFonts w:hint="eastAsia" w:ascii="仿宋_GB2312" w:hAnsi="仿宋_GB2312" w:eastAsia="仿宋_GB2312" w:cs="仿宋_GB2312"/>
          <w:color w:val="auto"/>
          <w:sz w:val="32"/>
          <w:szCs w:val="32"/>
          <w:lang w:eastAsia="zh-CN"/>
        </w:rPr>
        <w:t>比例上</w:t>
      </w:r>
      <w:r>
        <w:rPr>
          <w:rFonts w:hint="eastAsia" w:ascii="仿宋_GB2312" w:hAnsi="仿宋_GB2312" w:eastAsia="仿宋_GB2312" w:cs="仿宋_GB2312"/>
          <w:sz w:val="32"/>
          <w:szCs w:val="32"/>
          <w:lang w:eastAsia="zh-CN"/>
        </w:rPr>
        <w:t>交。</w:t>
      </w:r>
    </w:p>
    <w:p>
      <w:pPr>
        <w:widowControl w:val="0"/>
        <w:numPr>
          <w:ilvl w:val="0"/>
          <w:numId w:val="0"/>
        </w:numPr>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（二）股利、股息收入。</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人民政府或国资预算单位持有的国有控股、国有参股企业应付</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属国有股权（股份）的股息红利，按照股东（大）会（未设立股东会或股东大会的为董事会，下同）决议通过的利润分配方案，全额上交。</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（三）产权转让收入。</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属国有独资企业（公司）的产权和</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人民政府或国资预算单位持有的国有控股、国有参股企业国有股权（股份）的转让净收入，全额上交。</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（四）清算收入。</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属国有独资企业（公司）清算收入和</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人民政府或国资预算单位持有的国有控股、国有参股企业国有股权（股份）享有的清算收入，扣除清算费用后全额上交。</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（五）其他国有资本经营收入。除上述收入外，经</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人民政府批准同意上交的其他国有资本经营收入。</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w:t>
      </w:r>
      <w:r>
        <w:rPr>
          <w:rFonts w:hint="eastAsia" w:ascii="仿宋_GB2312" w:hAnsi="仿宋_GB2312" w:eastAsia="仿宋_GB2312" w:cs="仿宋_GB2312"/>
          <w:b/>
          <w:bCs/>
          <w:sz w:val="32"/>
          <w:szCs w:val="32"/>
          <w:lang w:val="en-US" w:eastAsia="zh-CN"/>
        </w:rPr>
        <w:t>十二</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 xml:space="preserve"> </w:t>
      </w:r>
      <w:r>
        <w:rPr>
          <w:rFonts w:hint="eastAsia" w:ascii="仿宋_GB2312" w:hAnsi="仿宋_GB2312" w:eastAsia="仿宋_GB2312" w:cs="仿宋_GB2312"/>
          <w:sz w:val="32"/>
          <w:szCs w:val="32"/>
          <w:lang w:eastAsia="zh-CN"/>
        </w:rPr>
        <w:t>国资预算企业上</w:t>
      </w:r>
      <w:r>
        <w:rPr>
          <w:rFonts w:hint="eastAsia" w:ascii="仿宋_GB2312" w:hAnsi="仿宋_GB2312" w:eastAsia="仿宋_GB2312" w:cs="仿宋_GB2312"/>
          <w:sz w:val="32"/>
          <w:szCs w:val="32"/>
          <w:lang w:val="en-US" w:eastAsia="zh-CN"/>
        </w:rPr>
        <w:t>交</w:t>
      </w:r>
      <w:r>
        <w:rPr>
          <w:rFonts w:hint="eastAsia" w:ascii="仿宋_GB2312" w:hAnsi="仿宋_GB2312" w:eastAsia="仿宋_GB2312" w:cs="仿宋_GB2312"/>
          <w:sz w:val="32"/>
          <w:szCs w:val="32"/>
          <w:lang w:eastAsia="zh-CN"/>
        </w:rPr>
        <w:t>国有资本收益应当按规定申报，并如实填写国有资本收益申报表（详见附件1-4）。具体申报时间及要求如下：</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（一）应交利润，在每年年度终了后5个月内，由</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属</w:t>
      </w:r>
      <w:r>
        <w:rPr>
          <w:rFonts w:hint="eastAsia" w:ascii="仿宋_GB2312" w:hAnsi="仿宋_GB2312" w:eastAsia="仿宋_GB2312" w:cs="仿宋_GB2312"/>
          <w:sz w:val="32"/>
          <w:szCs w:val="32"/>
          <w:lang w:val="en-US" w:eastAsia="zh-CN"/>
        </w:rPr>
        <w:t>国有</w:t>
      </w:r>
      <w:r>
        <w:rPr>
          <w:rFonts w:hint="eastAsia" w:ascii="仿宋_GB2312" w:hAnsi="仿宋_GB2312" w:eastAsia="仿宋_GB2312" w:cs="仿宋_GB2312"/>
          <w:sz w:val="32"/>
          <w:szCs w:val="32"/>
          <w:lang w:eastAsia="zh-CN"/>
        </w:rPr>
        <w:t>企业一次性申报，并附送经依法审计的年度合并财务会计报告。</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（二）国有股股利、股息，在股东会或者股东大会（没有设立股东会或者股东大会的为董事会，下同）表决日后30个工作日内，由国有控股、参股企业据实申报，并附送股东会或者股东大会的决议文件。</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（三）国有产权转让收入，在签订产权转让合同后30个工作日内，由企业据实申报，并附送产权转让合同和资产评估报告。</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（四）清算收入，在清算组或管理人编制剩余财产分配方案后30个工作日内，由清算组或管理人据实申报，并附送经依法审计的清算报告等相关资料。</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（五）其他国有资本</w:t>
      </w:r>
      <w:r>
        <w:rPr>
          <w:rFonts w:hint="eastAsia" w:ascii="仿宋_GB2312" w:hAnsi="仿宋_GB2312" w:eastAsia="仿宋_GB2312" w:cs="仿宋_GB2312"/>
          <w:sz w:val="32"/>
          <w:szCs w:val="32"/>
          <w:lang w:val="en-US" w:eastAsia="zh-CN"/>
        </w:rPr>
        <w:t>经营收入</w:t>
      </w:r>
      <w:r>
        <w:rPr>
          <w:rFonts w:hint="eastAsia" w:ascii="仿宋_GB2312" w:hAnsi="仿宋_GB2312" w:eastAsia="仿宋_GB2312" w:cs="仿宋_GB2312"/>
          <w:sz w:val="32"/>
          <w:szCs w:val="32"/>
          <w:lang w:eastAsia="zh-CN"/>
        </w:rPr>
        <w:t>，在收</w:t>
      </w:r>
      <w:r>
        <w:rPr>
          <w:rFonts w:hint="eastAsia" w:ascii="仿宋_GB2312" w:hAnsi="仿宋_GB2312" w:eastAsia="仿宋_GB2312" w:cs="仿宋_GB2312"/>
          <w:sz w:val="32"/>
          <w:szCs w:val="32"/>
          <w:lang w:val="en-US" w:eastAsia="zh-CN"/>
        </w:rPr>
        <w:t>入</w:t>
      </w:r>
      <w:r>
        <w:rPr>
          <w:rFonts w:hint="eastAsia" w:ascii="仿宋_GB2312" w:hAnsi="仿宋_GB2312" w:eastAsia="仿宋_GB2312" w:cs="仿宋_GB2312"/>
          <w:sz w:val="32"/>
          <w:szCs w:val="32"/>
          <w:lang w:eastAsia="zh-CN"/>
        </w:rPr>
        <w:t>确定后30个工作日内，由企业及有关单位申报，并附送有关经济事项发生和金额确认的资料。</w:t>
      </w:r>
    </w:p>
    <w:p>
      <w:pPr>
        <w:widowControl w:val="0"/>
        <w:wordWrap/>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区本级国资预算企业根据国家政策进行重大调整，或因遭受重大自然灾害等不可抗力因素造成巨大损失，需减免应交利润的，由企业向区本级国资预算单位提出申请，区本级国资预算单位提出初审意见，经区财政局审核后，由区本级国资预算单位提请康巴什区人民政府审批。</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第十三条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本级国有资本经营预算支出方向和重点，应当根据</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委和政府确定的国有企业改革发展任务适时进行调整，预算安排应当聚焦关键领域和薄弱环节，增强国家和自治区重大战略任务的财力保障，强化资本金注入，推进国有经济布局优化和结构调整。</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本级国有资本经营预算支出包括资本性支出、费用性支出和其他支出，除调入一般公共预算外，主要用于以下用途：</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（一）对国资预算企业的资本金注入；</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（二）解决国有企业历史遗留问题及相关改革成本支出；</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（三）对国资预算企业的政策性补贴；</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（四）其他国有资本经营预算支出。</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本级国有资本经营预算每年应按照当年国有资本经营收入的一定比例调入一般公共预算，调入比例不低于30%。</w:t>
      </w:r>
    </w:p>
    <w:p>
      <w:pPr>
        <w:widowControl w:val="0"/>
        <w:wordWrap/>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 xml:space="preserve"> </w:t>
      </w:r>
    </w:p>
    <w:p>
      <w:pPr>
        <w:numPr>
          <w:ilvl w:val="0"/>
          <w:numId w:val="0"/>
        </w:numPr>
        <w:ind w:firstLine="3200" w:firstLineChars="10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预算编制</w:t>
      </w:r>
    </w:p>
    <w:p>
      <w:pPr>
        <w:widowControl w:val="0"/>
        <w:wordWrap/>
        <w:adjustRightInd/>
        <w:snapToGrid/>
        <w:spacing w:line="560" w:lineRule="exact"/>
        <w:ind w:firstLine="640" w:firstLineChars="200"/>
        <w:jc w:val="center"/>
        <w:textAlignment w:val="auto"/>
        <w:rPr>
          <w:rFonts w:hint="eastAsia" w:ascii="方正黑体_GBK" w:hAnsi="方正黑体_GBK" w:eastAsia="方正黑体_GBK" w:cs="方正黑体_GBK"/>
          <w:sz w:val="32"/>
          <w:szCs w:val="32"/>
        </w:rPr>
      </w:pP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本级国有资本经营预算按年度单独编制。</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w:t>
      </w:r>
      <w:r>
        <w:rPr>
          <w:rFonts w:hint="eastAsia" w:ascii="仿宋_GB2312" w:hAnsi="仿宋_GB2312" w:eastAsia="仿宋_GB2312" w:cs="仿宋_GB2312"/>
          <w:b/>
          <w:bCs/>
          <w:sz w:val="32"/>
          <w:szCs w:val="32"/>
          <w:lang w:val="en-US" w:eastAsia="zh-CN"/>
        </w:rPr>
        <w:t>十六</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按照</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本级预算编制的统一要求，布置编报年度</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本级国有资本经营预算草案工作，明确预算编制年度要求和预算报表格式。</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w:t>
      </w:r>
      <w:r>
        <w:rPr>
          <w:rFonts w:hint="eastAsia" w:ascii="仿宋_GB2312" w:hAnsi="仿宋_GB2312" w:eastAsia="仿宋_GB2312" w:cs="仿宋_GB2312"/>
          <w:b/>
          <w:bCs/>
          <w:sz w:val="32"/>
          <w:szCs w:val="32"/>
          <w:lang w:val="en-US" w:eastAsia="zh-CN"/>
        </w:rPr>
        <w:t>十七</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b w:val="0"/>
          <w:bCs w:val="0"/>
          <w:sz w:val="32"/>
          <w:szCs w:val="32"/>
          <w:lang w:eastAsia="zh-CN"/>
        </w:rPr>
        <w:t>本级国有资本经</w:t>
      </w:r>
      <w:r>
        <w:rPr>
          <w:rFonts w:hint="eastAsia" w:ascii="仿宋_GB2312" w:hAnsi="仿宋_GB2312" w:eastAsia="仿宋_GB2312" w:cs="仿宋_GB2312"/>
          <w:sz w:val="32"/>
          <w:szCs w:val="32"/>
          <w:lang w:eastAsia="zh-CN"/>
        </w:rPr>
        <w:t>营预算的编制具体程序如下：</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（一）组织安排。</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负责制定编报预算收支计划及国有资本经营预算建议草案的具体要求；国资预算单位负责组织、协调和督促监管（所属）企业开展预算收支计划及国有资本经营预算建议草案编制相关基础工作。</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申报计划。国资预算企业根据年度盈利情况，预测全年实现利润，形成下一年度预算收入和预算支出计划，将材料报送国资预算单位审核。国资预算企业申报的收入应根据年度盈利情况科学合理测算。国资预算企业申报支出项目时，应当提供企业基本情况、拟投入项目基本情况、项目投入必要性和可行性方案等资料。</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（三）审核上报。国资预算单位负责审核、汇总监管（所属）企业报送的收支计划，编制本部门单位国有资本经营预算建议草案，在规定时间内报送</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审核。建议草案收入预算应当编列到一级企业，支出预算中对国有企业资本金注入支出原则上应当明确具体企业，其他支出原则上应当明确具体项目。支出预算无法细化到具体企业或项目的，应当说明理由。</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（四）统筹编制。</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汇总各有关部门单位建议草案后，统筹当年可安排的</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本级国有资本经营预算收入规模，确定支出规模，形成</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本级国有资本经营预算草案，按规定程序报请</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人民政府审定后，报送</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人民代表大会批准。</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本级国有资本经营预算草案收入编制内容包括：本级收入、上一年度结余，其中，</w:t>
      </w:r>
      <w:r>
        <w:rPr>
          <w:rFonts w:hint="eastAsia" w:ascii="仿宋_GB2312" w:hAnsi="仿宋_GB2312" w:eastAsia="仿宋_GB2312" w:cs="仿宋_GB2312"/>
          <w:sz w:val="32"/>
          <w:szCs w:val="32"/>
          <w:lang w:val="en-US" w:eastAsia="zh-CN"/>
        </w:rPr>
        <w:t>本级</w:t>
      </w:r>
      <w:r>
        <w:rPr>
          <w:rFonts w:hint="eastAsia" w:ascii="仿宋_GB2312" w:hAnsi="仿宋_GB2312" w:eastAsia="仿宋_GB2312" w:cs="仿宋_GB2312"/>
          <w:sz w:val="32"/>
          <w:szCs w:val="32"/>
          <w:lang w:eastAsia="zh-CN"/>
        </w:rPr>
        <w:t>收入应当编列到一级企业。</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本级国有资本经营预算草案支出编制内容包括：</w:t>
      </w:r>
      <w:r>
        <w:rPr>
          <w:rFonts w:hint="eastAsia" w:ascii="仿宋_GB2312" w:hAnsi="仿宋_GB2312" w:eastAsia="仿宋_GB2312" w:cs="仿宋_GB2312"/>
          <w:sz w:val="32"/>
          <w:szCs w:val="32"/>
          <w:lang w:val="en-US" w:eastAsia="zh-CN"/>
        </w:rPr>
        <w:t>本级</w:t>
      </w:r>
      <w:r>
        <w:rPr>
          <w:rFonts w:hint="eastAsia" w:ascii="仿宋_GB2312" w:hAnsi="仿宋_GB2312" w:eastAsia="仿宋_GB2312" w:cs="仿宋_GB2312"/>
          <w:sz w:val="32"/>
          <w:szCs w:val="32"/>
          <w:lang w:eastAsia="zh-CN"/>
        </w:rPr>
        <w:t>支出、向一般公共预算调出资金。</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w:t>
      </w:r>
      <w:r>
        <w:rPr>
          <w:rFonts w:hint="eastAsia" w:ascii="仿宋_GB2312" w:hAnsi="仿宋_GB2312" w:eastAsia="仿宋_GB2312" w:cs="仿宋_GB2312"/>
          <w:b/>
          <w:bCs/>
          <w:sz w:val="32"/>
          <w:szCs w:val="32"/>
          <w:lang w:val="en-US" w:eastAsia="zh-CN"/>
        </w:rPr>
        <w:t>十八</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本级国有资本经营预算草案经</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人民代表大会批准后，</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应当在20日内向有关国资预算单位批复预算。国资预算单位应当在接到</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批复的预算后15日内向监管（所属）企业批复预算。</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pPr>
        <w:numPr>
          <w:ilvl w:val="0"/>
          <w:numId w:val="0"/>
        </w:numPr>
        <w:ind w:firstLine="3520" w:firstLineChars="11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第五章 预算执行</w:t>
      </w:r>
    </w:p>
    <w:p>
      <w:pPr>
        <w:widowControl w:val="0"/>
        <w:wordWrap/>
        <w:adjustRightInd/>
        <w:snapToGrid/>
        <w:spacing w:line="560" w:lineRule="exact"/>
        <w:ind w:firstLine="640" w:firstLineChars="200"/>
        <w:jc w:val="center"/>
        <w:textAlignment w:val="auto"/>
        <w:rPr>
          <w:rFonts w:hint="eastAsia" w:ascii="方正黑体_GBK" w:hAnsi="方正黑体_GBK" w:eastAsia="方正黑体_GBK" w:cs="方正黑体_GBK"/>
          <w:sz w:val="32"/>
          <w:szCs w:val="32"/>
        </w:rPr>
      </w:pP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w:t>
      </w:r>
      <w:r>
        <w:rPr>
          <w:rFonts w:hint="eastAsia" w:ascii="仿宋_GB2312" w:hAnsi="仿宋_GB2312" w:eastAsia="仿宋_GB2312" w:cs="仿宋_GB2312"/>
          <w:b/>
          <w:bCs/>
          <w:sz w:val="32"/>
          <w:szCs w:val="32"/>
          <w:lang w:val="en-US" w:eastAsia="zh-CN"/>
        </w:rPr>
        <w:t>十九</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本级国有资本经营预算资金的收付按照财政国库集中收付制度有关规定执行。</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第二十条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eastAsia="zh-CN"/>
        </w:rPr>
        <w:t>国资预算企业国有资本收益上交，按照以下程序执行：</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（一）申报。国资预算单位收到监管（所属）企业上报的国有资本收益申报表及相关材料后提出审核意见，报送</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（二）复核。</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对申报收益及相关材料进行复核确认后，向国资预算单位下达复核结果并确定收益上交时限及方式。</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（三）上交。国资预算企业依据收益上交通知，在规定时间内办理交款手续。</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第二十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eastAsia="zh-CN"/>
        </w:rPr>
        <w:t>国资预算企业应当按照要求，将国有资本收益及时、足额上交</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，任何部门和单位不得擅自减免或拒交。</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第二十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本级国有资本经营预算支出应当按照批复的预算执行。年初预算草案支出预算未细化的资本金注入支出事项，在年度预算执行过程中，由</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会同国资预算单位研究提出资金安排意见，报</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人民政府批准后执行。</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第二十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eastAsia="zh-CN"/>
        </w:rPr>
        <w:t>加强</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本级国有资本经营预算支出管理，资本性支出应当及时增加资本金，严格执行企业增资有关规定，落实国有资本权益，由国资预算企业按规定方向和用途统筹使用；费用性支出应当严格按规定使用，不得扩大使用范围，结余资金主动交回财政。</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第二十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eastAsia="zh-CN"/>
        </w:rPr>
        <w:t>预算执行过程中确需进行调整（调剂）的，按照以下程序执行：</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（一）预算调整。在预算执行过程中出现需要增加、减少预算总支出或者调减预算安排重点支出数额的情形，应当由</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编制预算调整方案，说明预算调整的理由、项目和数额，经</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人民政府同意后，报送</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人民代表大会常务委员会审查和批准。</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因</w:t>
      </w:r>
      <w:r>
        <w:rPr>
          <w:rFonts w:hint="eastAsia" w:ascii="仿宋_GB2312" w:hAnsi="仿宋_GB2312" w:eastAsia="仿宋_GB2312" w:cs="仿宋_GB2312"/>
          <w:sz w:val="32"/>
          <w:szCs w:val="32"/>
          <w:lang w:val="en-US" w:eastAsia="zh-CN"/>
        </w:rPr>
        <w:t>上级</w:t>
      </w:r>
      <w:r>
        <w:rPr>
          <w:rFonts w:hint="eastAsia" w:ascii="仿宋_GB2312" w:hAnsi="仿宋_GB2312" w:eastAsia="仿宋_GB2312" w:cs="仿宋_GB2312"/>
          <w:sz w:val="32"/>
          <w:szCs w:val="32"/>
          <w:lang w:eastAsia="zh-CN"/>
        </w:rPr>
        <w:t>增加不需要</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人民政府提供配套资金的专项转移支付而引起的预算收支变化，不属于预算调整。</w:t>
      </w:r>
    </w:p>
    <w:p>
      <w:pPr>
        <w:widowControl w:val="0"/>
        <w:wordWrap/>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（二）预算调剂。除第（一）项规定的情形外，因国家和</w:t>
      </w:r>
      <w:r>
        <w:rPr>
          <w:rFonts w:hint="eastAsia" w:ascii="仿宋_GB2312" w:hAnsi="仿宋_GB2312" w:eastAsia="仿宋_GB2312" w:cs="仿宋_GB2312"/>
          <w:sz w:val="32"/>
          <w:szCs w:val="32"/>
          <w:lang w:val="en-US" w:eastAsia="zh-CN"/>
        </w:rPr>
        <w:t>上级及康巴什区本级</w:t>
      </w:r>
      <w:r>
        <w:rPr>
          <w:rFonts w:hint="eastAsia" w:ascii="仿宋_GB2312" w:hAnsi="仿宋_GB2312" w:eastAsia="仿宋_GB2312" w:cs="仿宋_GB2312"/>
          <w:sz w:val="32"/>
          <w:szCs w:val="32"/>
          <w:lang w:eastAsia="zh-CN"/>
        </w:rPr>
        <w:t>政策调整等特殊情况需要调剂预算的，应当由国资预算单位以书面形式提出申请，报送</w:t>
      </w:r>
      <w:r>
        <w:rPr>
          <w:rFonts w:hint="eastAsia" w:ascii="仿宋_GB2312" w:hAnsi="仿宋_GB2312" w:eastAsia="仿宋_GB2312" w:cs="仿宋_GB2312"/>
          <w:sz w:val="32"/>
          <w:szCs w:val="32"/>
          <w:lang w:val="en-US" w:eastAsia="zh-CN"/>
        </w:rPr>
        <w:t>康巴什区财政局</w:t>
      </w:r>
      <w:r>
        <w:rPr>
          <w:rFonts w:hint="eastAsia" w:ascii="仿宋_GB2312" w:hAnsi="仿宋_GB2312" w:eastAsia="仿宋_GB2312" w:cs="仿宋_GB2312"/>
          <w:sz w:val="32"/>
          <w:szCs w:val="32"/>
          <w:lang w:eastAsia="zh-CN"/>
        </w:rPr>
        <w:t>审批。</w:t>
      </w:r>
    </w:p>
    <w:p>
      <w:pPr>
        <w:widowControl w:val="0"/>
        <w:wordWrap/>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第二十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sz w:val="32"/>
          <w:szCs w:val="32"/>
          <w:lang w:eastAsia="zh-CN"/>
        </w:rPr>
        <w:t>本级国有资本经营预算确定后，国资预算企业因改变产权或财务隶属关系引起预算级次和关系变化的，应当同时办理预算划转备案手续。</w:t>
      </w:r>
    </w:p>
    <w:p>
      <w:pPr>
        <w:widowControl w:val="0"/>
        <w:wordWrap/>
        <w:adjustRightInd/>
        <w:snapToGrid/>
        <w:spacing w:line="560" w:lineRule="exact"/>
        <w:ind w:firstLine="640" w:firstLineChars="200"/>
        <w:textAlignment w:val="auto"/>
        <w:rPr>
          <w:rFonts w:hint="eastAsia" w:ascii="方正仿宋_GBK" w:hAnsi="方正仿宋_GBK" w:eastAsia="方正仿宋_GBK" w:cs="方正仿宋_GBK"/>
          <w:sz w:val="32"/>
          <w:szCs w:val="32"/>
        </w:rPr>
      </w:pPr>
    </w:p>
    <w:p>
      <w:pPr>
        <w:numPr>
          <w:ilvl w:val="0"/>
          <w:numId w:val="0"/>
        </w:numPr>
        <w:ind w:firstLine="3520" w:firstLineChars="11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第六章 决算</w:t>
      </w:r>
    </w:p>
    <w:p>
      <w:pPr>
        <w:widowControl w:val="0"/>
        <w:wordWrap/>
        <w:adjustRightInd/>
        <w:snapToGrid/>
        <w:spacing w:line="560" w:lineRule="exact"/>
        <w:ind w:firstLine="640" w:firstLineChars="200"/>
        <w:jc w:val="center"/>
        <w:textAlignment w:val="auto"/>
        <w:rPr>
          <w:rFonts w:hint="eastAsia" w:ascii="方正黑体_GBK" w:hAnsi="方正黑体_GBK" w:eastAsia="方正黑体_GBK" w:cs="方正黑体_GBK"/>
          <w:sz w:val="32"/>
          <w:szCs w:val="32"/>
        </w:rPr>
      </w:pPr>
    </w:p>
    <w:p>
      <w:pPr>
        <w:widowControl w:val="0"/>
        <w:wordWrap/>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第二十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eastAsia="zh-CN"/>
        </w:rPr>
        <w:t>按照编制决算的统一要求，部署编制年度</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eastAsia="zh-CN"/>
        </w:rPr>
        <w:t>本级国有资本经</w:t>
      </w:r>
      <w:r>
        <w:rPr>
          <w:rFonts w:hint="eastAsia" w:ascii="仿宋_GB2312" w:hAnsi="仿宋_GB2312" w:eastAsia="仿宋_GB2312" w:cs="仿宋_GB2312"/>
          <w:b w:val="0"/>
          <w:bCs w:val="0"/>
          <w:sz w:val="32"/>
          <w:szCs w:val="32"/>
          <w:lang w:eastAsia="zh-CN"/>
        </w:rPr>
        <w:t>营决算草案工作。</w:t>
      </w:r>
    </w:p>
    <w:p>
      <w:pPr>
        <w:widowControl w:val="0"/>
        <w:wordWrap/>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国资预算单位编制本单位国有资本经营决算草案报送</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b w:val="0"/>
          <w:bCs w:val="0"/>
          <w:sz w:val="32"/>
          <w:szCs w:val="32"/>
          <w:lang w:eastAsia="zh-CN"/>
        </w:rPr>
        <w:t>。</w:t>
      </w:r>
    </w:p>
    <w:p>
      <w:pPr>
        <w:widowControl w:val="0"/>
        <w:wordWrap/>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第二十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康巴什区财政局根据</w:t>
      </w:r>
      <w:r>
        <w:rPr>
          <w:rFonts w:hint="eastAsia" w:ascii="仿宋_GB2312" w:hAnsi="仿宋_GB2312" w:eastAsia="仿宋_GB2312" w:cs="仿宋_GB2312"/>
          <w:b w:val="0"/>
          <w:bCs w:val="0"/>
          <w:sz w:val="32"/>
          <w:szCs w:val="32"/>
          <w:lang w:eastAsia="zh-CN"/>
        </w:rPr>
        <w:t>当年国有资本经营预算执行情况和国资预算单位上报的决算草案，编制</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lang w:eastAsia="zh-CN"/>
        </w:rPr>
        <w:t>本级国有资本经营决算草案。</w:t>
      </w:r>
    </w:p>
    <w:p>
      <w:pPr>
        <w:widowControl w:val="0"/>
        <w:wordWrap/>
        <w:adjustRightInd/>
        <w:snapToGrid/>
        <w:spacing w:line="560" w:lineRule="exact"/>
        <w:ind w:firstLine="642" w:firstLineChars="200"/>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bCs/>
          <w:sz w:val="32"/>
          <w:szCs w:val="32"/>
          <w:highlight w:val="none"/>
          <w:lang w:eastAsia="zh-CN"/>
        </w:rPr>
        <w:t>第二十</w:t>
      </w:r>
      <w:r>
        <w:rPr>
          <w:rFonts w:hint="eastAsia" w:ascii="仿宋_GB2312" w:hAnsi="仿宋_GB2312" w:eastAsia="仿宋_GB2312" w:cs="仿宋_GB2312"/>
          <w:b/>
          <w:bCs/>
          <w:sz w:val="32"/>
          <w:szCs w:val="32"/>
          <w:highlight w:val="none"/>
          <w:lang w:val="en-US" w:eastAsia="zh-CN"/>
        </w:rPr>
        <w:t>八</w:t>
      </w:r>
      <w:r>
        <w:rPr>
          <w:rFonts w:hint="eastAsia" w:ascii="仿宋_GB2312" w:hAnsi="仿宋_GB2312" w:eastAsia="仿宋_GB2312" w:cs="仿宋_GB2312"/>
          <w:b/>
          <w:bCs/>
          <w:sz w:val="32"/>
          <w:szCs w:val="32"/>
          <w:highlight w:val="none"/>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val="0"/>
          <w:bCs w:val="0"/>
          <w:sz w:val="32"/>
          <w:szCs w:val="32"/>
          <w:highlight w:val="none"/>
          <w:lang w:val="en-US" w:eastAsia="zh-CN"/>
        </w:rPr>
        <w:t>区</w:t>
      </w:r>
      <w:r>
        <w:rPr>
          <w:rFonts w:hint="eastAsia" w:ascii="仿宋_GB2312" w:hAnsi="仿宋_GB2312" w:eastAsia="仿宋_GB2312" w:cs="仿宋_GB2312"/>
          <w:b w:val="0"/>
          <w:bCs w:val="0"/>
          <w:sz w:val="32"/>
          <w:szCs w:val="32"/>
          <w:highlight w:val="none"/>
          <w:lang w:eastAsia="zh-CN"/>
        </w:rPr>
        <w:t>本级国有资本经营决算草案经</w:t>
      </w:r>
      <w:r>
        <w:rPr>
          <w:rFonts w:hint="eastAsia" w:ascii="仿宋_GB2312" w:hAnsi="仿宋_GB2312" w:eastAsia="仿宋_GB2312" w:cs="仿宋_GB2312"/>
          <w:sz w:val="32"/>
          <w:szCs w:val="32"/>
          <w:highlight w:val="none"/>
          <w:lang w:val="en-US" w:eastAsia="zh-CN"/>
        </w:rPr>
        <w:t>康巴什区</w:t>
      </w:r>
      <w:r>
        <w:rPr>
          <w:rFonts w:hint="eastAsia" w:ascii="仿宋_GB2312" w:hAnsi="仿宋_GB2312" w:eastAsia="仿宋_GB2312" w:cs="仿宋_GB2312"/>
          <w:b w:val="0"/>
          <w:bCs w:val="0"/>
          <w:sz w:val="32"/>
          <w:szCs w:val="32"/>
          <w:highlight w:val="none"/>
          <w:lang w:eastAsia="zh-CN"/>
        </w:rPr>
        <w:t>审计</w:t>
      </w:r>
      <w:r>
        <w:rPr>
          <w:rFonts w:hint="eastAsia" w:ascii="仿宋_GB2312" w:hAnsi="仿宋_GB2312" w:eastAsia="仿宋_GB2312" w:cs="仿宋_GB2312"/>
          <w:b w:val="0"/>
          <w:bCs w:val="0"/>
          <w:sz w:val="32"/>
          <w:szCs w:val="32"/>
          <w:highlight w:val="none"/>
          <w:lang w:val="en-US" w:eastAsia="zh-CN"/>
        </w:rPr>
        <w:t>局</w:t>
      </w:r>
      <w:r>
        <w:rPr>
          <w:rFonts w:hint="eastAsia" w:ascii="仿宋_GB2312" w:hAnsi="仿宋_GB2312" w:eastAsia="仿宋_GB2312" w:cs="仿宋_GB2312"/>
          <w:b w:val="0"/>
          <w:bCs w:val="0"/>
          <w:sz w:val="32"/>
          <w:szCs w:val="32"/>
          <w:highlight w:val="none"/>
          <w:lang w:eastAsia="zh-CN"/>
        </w:rPr>
        <w:t>审计后，报送</w:t>
      </w:r>
      <w:r>
        <w:rPr>
          <w:rFonts w:hint="eastAsia" w:ascii="仿宋_GB2312" w:hAnsi="仿宋_GB2312" w:eastAsia="仿宋_GB2312" w:cs="仿宋_GB2312"/>
          <w:b w:val="0"/>
          <w:bCs w:val="0"/>
          <w:sz w:val="32"/>
          <w:szCs w:val="32"/>
          <w:highlight w:val="none"/>
          <w:lang w:val="en-US" w:eastAsia="zh-CN"/>
        </w:rPr>
        <w:t>康巴什区</w:t>
      </w:r>
      <w:r>
        <w:rPr>
          <w:rFonts w:hint="eastAsia" w:ascii="仿宋_GB2312" w:hAnsi="仿宋_GB2312" w:eastAsia="仿宋_GB2312" w:cs="仿宋_GB2312"/>
          <w:b w:val="0"/>
          <w:bCs w:val="0"/>
          <w:sz w:val="32"/>
          <w:szCs w:val="32"/>
          <w:highlight w:val="none"/>
          <w:lang w:eastAsia="zh-CN"/>
        </w:rPr>
        <w:t>人民政府审定，由</w:t>
      </w:r>
      <w:r>
        <w:rPr>
          <w:rFonts w:hint="eastAsia" w:ascii="仿宋_GB2312" w:hAnsi="仿宋_GB2312" w:eastAsia="仿宋_GB2312" w:cs="仿宋_GB2312"/>
          <w:b w:val="0"/>
          <w:bCs w:val="0"/>
          <w:sz w:val="32"/>
          <w:szCs w:val="32"/>
          <w:highlight w:val="none"/>
          <w:lang w:val="en-US" w:eastAsia="zh-CN"/>
        </w:rPr>
        <w:t>康巴什区</w:t>
      </w:r>
      <w:r>
        <w:rPr>
          <w:rFonts w:hint="eastAsia" w:ascii="仿宋_GB2312" w:hAnsi="仿宋_GB2312" w:eastAsia="仿宋_GB2312" w:cs="仿宋_GB2312"/>
          <w:b w:val="0"/>
          <w:bCs w:val="0"/>
          <w:sz w:val="32"/>
          <w:szCs w:val="32"/>
          <w:highlight w:val="none"/>
          <w:lang w:eastAsia="zh-CN"/>
        </w:rPr>
        <w:t>人民政府提请</w:t>
      </w:r>
      <w:r>
        <w:rPr>
          <w:rFonts w:hint="eastAsia" w:ascii="仿宋_GB2312" w:hAnsi="仿宋_GB2312" w:eastAsia="仿宋_GB2312" w:cs="仿宋_GB2312"/>
          <w:sz w:val="32"/>
          <w:szCs w:val="32"/>
          <w:highlight w:val="none"/>
          <w:lang w:val="en-US" w:eastAsia="zh-CN"/>
        </w:rPr>
        <w:t>康巴什区</w:t>
      </w:r>
      <w:r>
        <w:rPr>
          <w:rFonts w:hint="eastAsia" w:ascii="仿宋_GB2312" w:hAnsi="仿宋_GB2312" w:eastAsia="仿宋_GB2312" w:cs="仿宋_GB2312"/>
          <w:b w:val="0"/>
          <w:bCs w:val="0"/>
          <w:sz w:val="32"/>
          <w:szCs w:val="32"/>
          <w:highlight w:val="none"/>
          <w:lang w:eastAsia="zh-CN"/>
        </w:rPr>
        <w:t>人民代表大会常务委员会审查。</w:t>
      </w:r>
    </w:p>
    <w:p>
      <w:pPr>
        <w:widowControl w:val="0"/>
        <w:wordWrap/>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第</w:t>
      </w:r>
      <w:r>
        <w:rPr>
          <w:rFonts w:hint="eastAsia" w:ascii="仿宋_GB2312" w:hAnsi="仿宋_GB2312" w:eastAsia="仿宋_GB2312" w:cs="仿宋_GB2312"/>
          <w:b/>
          <w:bCs/>
          <w:sz w:val="32"/>
          <w:szCs w:val="32"/>
          <w:highlight w:val="none"/>
          <w:lang w:eastAsia="zh-CN"/>
        </w:rPr>
        <w:t>二十</w:t>
      </w:r>
      <w:r>
        <w:rPr>
          <w:rFonts w:hint="eastAsia" w:ascii="仿宋_GB2312" w:hAnsi="仿宋_GB2312" w:eastAsia="仿宋_GB2312" w:cs="仿宋_GB2312"/>
          <w:b/>
          <w:bCs/>
          <w:sz w:val="32"/>
          <w:szCs w:val="32"/>
          <w:highlight w:val="none"/>
          <w:lang w:val="en-US" w:eastAsia="zh-CN"/>
        </w:rPr>
        <w:t>九</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lang w:eastAsia="zh-CN"/>
        </w:rPr>
        <w:t>本级国有资本经营决算草案经</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b w:val="0"/>
          <w:bCs w:val="0"/>
          <w:sz w:val="32"/>
          <w:szCs w:val="32"/>
          <w:lang w:eastAsia="zh-CN"/>
        </w:rPr>
        <w:t>人民代表大会常务委员会批准后，</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b w:val="0"/>
          <w:bCs w:val="0"/>
          <w:sz w:val="32"/>
          <w:szCs w:val="32"/>
          <w:lang w:eastAsia="zh-CN"/>
        </w:rPr>
        <w:t>应当在20日内向有关国资预算单位批复决算。国资预算单位应当在接到</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b w:val="0"/>
          <w:bCs w:val="0"/>
          <w:sz w:val="32"/>
          <w:szCs w:val="32"/>
          <w:lang w:eastAsia="zh-CN"/>
        </w:rPr>
        <w:t>批复的决算后15日内向监管（所属）企业批复决算。</w:t>
      </w:r>
    </w:p>
    <w:p>
      <w:pPr>
        <w:widowControl w:val="0"/>
        <w:wordWrap/>
        <w:adjustRightInd/>
        <w:snapToGrid/>
        <w:spacing w:line="560" w:lineRule="exact"/>
        <w:ind w:firstLine="640" w:firstLineChars="200"/>
        <w:textAlignment w:val="auto"/>
        <w:rPr>
          <w:rFonts w:hint="eastAsia" w:ascii="方正仿宋_GBK" w:hAnsi="方正仿宋_GBK" w:eastAsia="方正仿宋_GBK" w:cs="方正仿宋_GBK"/>
          <w:sz w:val="32"/>
          <w:szCs w:val="32"/>
        </w:rPr>
      </w:pPr>
    </w:p>
    <w:p>
      <w:pPr>
        <w:numPr>
          <w:ilvl w:val="0"/>
          <w:numId w:val="0"/>
        </w:numPr>
        <w:ind w:firstLine="3200" w:firstLineChars="10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第七章 绩效管理</w:t>
      </w:r>
    </w:p>
    <w:p>
      <w:pPr>
        <w:widowControl w:val="0"/>
        <w:wordWrap/>
        <w:adjustRightInd/>
        <w:snapToGrid/>
        <w:spacing w:line="560" w:lineRule="exact"/>
        <w:ind w:firstLine="640" w:firstLineChars="200"/>
        <w:jc w:val="center"/>
        <w:textAlignment w:val="auto"/>
        <w:rPr>
          <w:rFonts w:hint="eastAsia" w:ascii="方正黑体_GBK" w:hAnsi="方正黑体_GBK" w:eastAsia="方正黑体_GBK" w:cs="方正黑体_GBK"/>
          <w:sz w:val="32"/>
          <w:szCs w:val="32"/>
        </w:rPr>
      </w:pPr>
    </w:p>
    <w:p>
      <w:pPr>
        <w:widowControl w:val="0"/>
        <w:wordWrap/>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第三十条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b w:val="0"/>
          <w:bCs w:val="0"/>
          <w:sz w:val="32"/>
          <w:szCs w:val="32"/>
          <w:lang w:eastAsia="zh-CN"/>
        </w:rPr>
        <w:t>牵头实施区本级国有资本经营预算绩效管理，并对国有资本经营预算支出项目进行重点绩效评价。</w:t>
      </w:r>
    </w:p>
    <w:p>
      <w:pPr>
        <w:widowControl w:val="0"/>
        <w:wordWrap/>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第三十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val="0"/>
          <w:bCs w:val="0"/>
          <w:sz w:val="32"/>
          <w:szCs w:val="32"/>
          <w:lang w:eastAsia="zh-CN"/>
        </w:rPr>
        <w:t>国资预算单位对国有资本经营预算实施全过程绩效管理，科学设立绩效目标，按规定开展事前绩效评估，加强绩效运行监控和绩效评价。</w:t>
      </w:r>
    </w:p>
    <w:p>
      <w:pPr>
        <w:widowControl w:val="0"/>
        <w:wordWrap/>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国资预算单位应当对所监管（所属）企业设置上交国有资本收益情况的考核指标，并纳入企业负责人经营业绩考核。</w:t>
      </w:r>
    </w:p>
    <w:p>
      <w:pPr>
        <w:widowControl w:val="0"/>
        <w:wordWrap/>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第三十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b w:val="0"/>
          <w:bCs w:val="0"/>
          <w:sz w:val="32"/>
          <w:szCs w:val="32"/>
          <w:lang w:eastAsia="zh-CN"/>
        </w:rPr>
        <w:t>应当将预算绩效管理结果作为加强预算管理和安排以后年度预算支出的重要依据。</w:t>
      </w:r>
    </w:p>
    <w:p>
      <w:pPr>
        <w:numPr>
          <w:ilvl w:val="0"/>
          <w:numId w:val="0"/>
        </w:numPr>
        <w:ind w:firstLine="2880" w:firstLineChars="900"/>
        <w:jc w:val="both"/>
        <w:rPr>
          <w:rFonts w:hint="eastAsia" w:ascii="黑体" w:hAnsi="黑体" w:eastAsia="黑体" w:cs="黑体"/>
          <w:sz w:val="32"/>
          <w:szCs w:val="32"/>
          <w:lang w:val="en-US" w:eastAsia="zh-CN"/>
        </w:rPr>
      </w:pPr>
    </w:p>
    <w:p>
      <w:pPr>
        <w:numPr>
          <w:ilvl w:val="0"/>
          <w:numId w:val="0"/>
        </w:numPr>
        <w:ind w:firstLine="3200" w:firstLineChars="10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第八章 监督</w:t>
      </w:r>
    </w:p>
    <w:p>
      <w:pPr>
        <w:widowControl w:val="0"/>
        <w:wordWrap/>
        <w:adjustRightInd/>
        <w:snapToGrid/>
        <w:spacing w:line="560" w:lineRule="exact"/>
        <w:ind w:firstLine="640" w:firstLineChars="200"/>
        <w:jc w:val="center"/>
        <w:textAlignment w:val="auto"/>
        <w:rPr>
          <w:rFonts w:hint="eastAsia" w:ascii="方正黑体_GBK" w:hAnsi="方正黑体_GBK" w:eastAsia="方正黑体_GBK" w:cs="方正黑体_GBK"/>
          <w:sz w:val="32"/>
          <w:szCs w:val="32"/>
        </w:rPr>
      </w:pPr>
    </w:p>
    <w:p>
      <w:pPr>
        <w:widowControl w:val="0"/>
        <w:wordWrap/>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第三十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b w:val="0"/>
          <w:bCs w:val="0"/>
          <w:sz w:val="32"/>
          <w:szCs w:val="32"/>
          <w:lang w:eastAsia="zh-CN"/>
        </w:rPr>
        <w:t>、审计</w:t>
      </w:r>
      <w:r>
        <w:rPr>
          <w:rFonts w:hint="eastAsia" w:ascii="仿宋_GB2312" w:hAnsi="仿宋_GB2312" w:eastAsia="仿宋_GB2312" w:cs="仿宋_GB2312"/>
          <w:b w:val="0"/>
          <w:bCs w:val="0"/>
          <w:sz w:val="32"/>
          <w:szCs w:val="32"/>
          <w:lang w:val="en-US" w:eastAsia="zh-CN"/>
        </w:rPr>
        <w:t>局</w:t>
      </w:r>
      <w:r>
        <w:rPr>
          <w:rFonts w:hint="eastAsia" w:ascii="仿宋_GB2312" w:hAnsi="仿宋_GB2312" w:eastAsia="仿宋_GB2312" w:cs="仿宋_GB2312"/>
          <w:b w:val="0"/>
          <w:bCs w:val="0"/>
          <w:sz w:val="32"/>
          <w:szCs w:val="32"/>
          <w:lang w:eastAsia="zh-CN"/>
        </w:rPr>
        <w:t>等部门依法对</w:t>
      </w:r>
      <w:r>
        <w:rPr>
          <w:rFonts w:hint="eastAsia" w:ascii="仿宋_GB2312" w:hAnsi="仿宋_GB2312" w:eastAsia="仿宋_GB2312" w:cs="仿宋_GB2312"/>
          <w:b w:val="0"/>
          <w:bCs w:val="0"/>
          <w:sz w:val="32"/>
          <w:szCs w:val="32"/>
          <w:lang w:val="en-US" w:eastAsia="zh-CN"/>
        </w:rPr>
        <w:t>康巴什区</w:t>
      </w:r>
      <w:r>
        <w:rPr>
          <w:rFonts w:hint="eastAsia" w:ascii="仿宋_GB2312" w:hAnsi="仿宋_GB2312" w:eastAsia="仿宋_GB2312" w:cs="仿宋_GB2312"/>
          <w:b w:val="0"/>
          <w:bCs w:val="0"/>
          <w:sz w:val="32"/>
          <w:szCs w:val="32"/>
          <w:lang w:eastAsia="zh-CN"/>
        </w:rPr>
        <w:t>本级国有资本经营预算进行监督。</w:t>
      </w:r>
    </w:p>
    <w:p>
      <w:pPr>
        <w:widowControl w:val="0"/>
        <w:wordWrap/>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第三十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lang w:eastAsia="zh-CN"/>
        </w:rPr>
        <w:t>财政</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b w:val="0"/>
          <w:bCs w:val="0"/>
          <w:sz w:val="32"/>
          <w:szCs w:val="32"/>
          <w:lang w:eastAsia="zh-CN"/>
        </w:rPr>
        <w:t>和有关国资预算单位应当按照国家和</w:t>
      </w:r>
      <w:r>
        <w:rPr>
          <w:rFonts w:hint="eastAsia" w:ascii="仿宋_GB2312" w:hAnsi="仿宋_GB2312" w:eastAsia="仿宋_GB2312" w:cs="仿宋_GB2312"/>
          <w:b w:val="0"/>
          <w:bCs w:val="0"/>
          <w:sz w:val="32"/>
          <w:szCs w:val="32"/>
          <w:lang w:val="en-US" w:eastAsia="zh-CN"/>
        </w:rPr>
        <w:t>上级</w:t>
      </w:r>
      <w:r>
        <w:rPr>
          <w:rFonts w:hint="eastAsia" w:ascii="仿宋_GB2312" w:hAnsi="仿宋_GB2312" w:eastAsia="仿宋_GB2312" w:cs="仿宋_GB2312"/>
          <w:b w:val="0"/>
          <w:bCs w:val="0"/>
          <w:sz w:val="32"/>
          <w:szCs w:val="32"/>
          <w:lang w:eastAsia="zh-CN"/>
        </w:rPr>
        <w:t>关于预（决）算公开的相关规定，做好国有资本经营预（决）算公开工作。</w:t>
      </w:r>
    </w:p>
    <w:p>
      <w:pPr>
        <w:widowControl w:val="0"/>
        <w:wordWrap/>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第三十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val="0"/>
          <w:bCs w:val="0"/>
          <w:sz w:val="32"/>
          <w:szCs w:val="32"/>
          <w:lang w:eastAsia="zh-CN"/>
        </w:rPr>
        <w:t>对</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lang w:eastAsia="zh-CN"/>
        </w:rPr>
        <w:t>本级国有资本经营预算编制、执行、调整、决算、绩效管理、监督等过程中违反本办法规定的，依照《中华人民共和国预算法》、《中华人民共和国企业国有资产法》、《财政违法行为处罚处分条例》等有关规定进行处理、处罚和处分，依法追究有关单位及相关人员责任。</w:t>
      </w:r>
    </w:p>
    <w:p>
      <w:pPr>
        <w:widowControl w:val="0"/>
        <w:wordWrap/>
        <w:adjustRightInd/>
        <w:snapToGrid/>
        <w:spacing w:line="560" w:lineRule="exact"/>
        <w:ind w:firstLine="640" w:firstLineChars="200"/>
        <w:textAlignment w:val="auto"/>
        <w:rPr>
          <w:rFonts w:hint="eastAsia" w:ascii="方正仿宋_GBK" w:hAnsi="方正仿宋_GBK" w:eastAsia="方正仿宋_GBK" w:cs="方正仿宋_GBK"/>
          <w:sz w:val="32"/>
          <w:szCs w:val="32"/>
        </w:rPr>
      </w:pPr>
    </w:p>
    <w:p>
      <w:pPr>
        <w:numPr>
          <w:ilvl w:val="0"/>
          <w:numId w:val="0"/>
        </w:numPr>
        <w:ind w:firstLine="3200" w:firstLineChars="10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第九章 附</w:t>
      </w:r>
      <w:r>
        <w:rPr>
          <w:rFonts w:hint="eastAsia" w:ascii="黑体" w:hAnsi="黑体" w:eastAsia="黑体" w:cs="黑体"/>
          <w:sz w:val="32"/>
          <w:szCs w:val="32"/>
          <w:lang w:val="en-US" w:eastAsia="zh-CN"/>
        </w:rPr>
        <w:tab/>
      </w:r>
      <w:r>
        <w:rPr>
          <w:rFonts w:hint="eastAsia" w:ascii="黑体" w:hAnsi="黑体" w:eastAsia="黑体" w:cs="黑体"/>
          <w:sz w:val="32"/>
          <w:szCs w:val="32"/>
          <w:lang w:val="en-US" w:eastAsia="zh-CN"/>
        </w:rPr>
        <w:t>则</w:t>
      </w:r>
    </w:p>
    <w:p>
      <w:pPr>
        <w:widowControl w:val="0"/>
        <w:wordWrap/>
        <w:adjustRightInd/>
        <w:snapToGrid/>
        <w:spacing w:line="560" w:lineRule="exact"/>
        <w:ind w:firstLine="640" w:firstLineChars="200"/>
        <w:jc w:val="center"/>
        <w:textAlignment w:val="auto"/>
        <w:rPr>
          <w:rFonts w:hint="eastAsia" w:ascii="方正黑体_GBK" w:hAnsi="方正黑体_GBK" w:eastAsia="方正黑体_GBK" w:cs="方正黑体_GBK"/>
          <w:sz w:val="32"/>
          <w:szCs w:val="32"/>
        </w:rPr>
      </w:pPr>
    </w:p>
    <w:p>
      <w:pPr>
        <w:widowControl w:val="0"/>
        <w:wordWrap/>
        <w:adjustRightInd/>
        <w:snapToGrid/>
        <w:spacing w:line="560" w:lineRule="exact"/>
        <w:ind w:firstLine="642"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sz w:val="32"/>
          <w:szCs w:val="32"/>
          <w:lang w:eastAsia="zh-CN"/>
        </w:rPr>
        <w:t>第三十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lang w:eastAsia="zh-CN"/>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val="0"/>
          <w:bCs w:val="0"/>
          <w:sz w:val="32"/>
          <w:szCs w:val="32"/>
          <w:lang w:eastAsia="zh-CN"/>
        </w:rPr>
        <w:t>本办法</w:t>
      </w:r>
      <w:r>
        <w:rPr>
          <w:rFonts w:hint="eastAsia" w:ascii="仿宋_GB2312" w:hAnsi="仿宋_GB2312" w:eastAsia="仿宋_GB2312" w:cs="仿宋_GB2312"/>
          <w:b w:val="0"/>
          <w:bCs w:val="0"/>
          <w:sz w:val="32"/>
          <w:szCs w:val="32"/>
          <w:lang w:val="en-US" w:eastAsia="zh-CN"/>
        </w:rPr>
        <w:t>由</w:t>
      </w:r>
      <w:r>
        <w:rPr>
          <w:rFonts w:hint="eastAsia" w:ascii="仿宋_GB2312" w:hAnsi="仿宋_GB2312" w:eastAsia="仿宋_GB2312" w:cs="仿宋_GB2312"/>
          <w:sz w:val="32"/>
          <w:szCs w:val="32"/>
          <w:lang w:val="en-US" w:eastAsia="zh-CN"/>
        </w:rPr>
        <w:t>康巴什区</w:t>
      </w:r>
      <w:r>
        <w:rPr>
          <w:rFonts w:ascii="仿宋_GB2312" w:hAnsi="宋体" w:eastAsia="仿宋_GB2312" w:cs="仿宋_GB2312"/>
          <w:color w:val="000000"/>
          <w:sz w:val="32"/>
          <w:szCs w:val="32"/>
        </w:rPr>
        <w:t>财政局</w:t>
      </w:r>
      <w:r>
        <w:rPr>
          <w:rFonts w:hint="eastAsia" w:ascii="仿宋_GB2312" w:hAnsi="宋体" w:eastAsia="仿宋_GB2312" w:cs="仿宋_GB2312"/>
          <w:color w:val="000000"/>
          <w:sz w:val="32"/>
          <w:szCs w:val="32"/>
        </w:rPr>
        <w:t>负责解释</w:t>
      </w:r>
      <w:r>
        <w:rPr>
          <w:rFonts w:hint="eastAsia" w:ascii="仿宋_GB2312" w:hAnsi="宋体" w:eastAsia="仿宋_GB2312" w:cs="仿宋_GB2312"/>
          <w:color w:val="000000"/>
          <w:sz w:val="32"/>
          <w:szCs w:val="32"/>
          <w:lang w:eastAsia="zh-CN"/>
        </w:rPr>
        <w:t>，</w:t>
      </w:r>
      <w:r>
        <w:rPr>
          <w:rFonts w:hint="eastAsia" w:ascii="仿宋_GB2312" w:hAnsi="仿宋_GB2312" w:eastAsia="仿宋_GB2312" w:cs="仿宋_GB2312"/>
          <w:b w:val="0"/>
          <w:bCs w:val="0"/>
          <w:sz w:val="32"/>
          <w:szCs w:val="32"/>
          <w:lang w:eastAsia="zh-CN"/>
        </w:rPr>
        <w:t>自</w:t>
      </w:r>
      <w:r>
        <w:rPr>
          <w:rFonts w:hint="eastAsia" w:ascii="仿宋_GB2312" w:hAnsi="仿宋_GB2312" w:eastAsia="仿宋_GB2312" w:cs="仿宋_GB2312"/>
          <w:b w:val="0"/>
          <w:bCs w:val="0"/>
          <w:sz w:val="32"/>
          <w:szCs w:val="32"/>
          <w:lang w:val="en-US" w:eastAsia="zh-CN"/>
        </w:rPr>
        <w:t>印发</w:t>
      </w:r>
      <w:r>
        <w:rPr>
          <w:rFonts w:hint="eastAsia" w:ascii="仿宋_GB2312" w:hAnsi="仿宋_GB2312" w:eastAsia="仿宋_GB2312" w:cs="仿宋_GB2312"/>
          <w:b w:val="0"/>
          <w:bCs w:val="0"/>
          <w:sz w:val="32"/>
          <w:szCs w:val="32"/>
          <w:lang w:eastAsia="zh-CN"/>
        </w:rPr>
        <w:t>之日起施行。</w:t>
      </w:r>
    </w:p>
    <w:p>
      <w:pPr>
        <w:pStyle w:val="6"/>
        <w:widowControl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560" w:lineRule="exact"/>
        <w:ind w:left="2097" w:right="0" w:hanging="1459"/>
        <w:jc w:val="both"/>
        <w:rPr>
          <w:rFonts w:ascii="仿宋_GB2312" w:eastAsia="仿宋_GB2312" w:cs="仿宋_GB2312"/>
          <w:color w:val="000000"/>
          <w:sz w:val="32"/>
          <w:szCs w:val="32"/>
        </w:rPr>
      </w:pPr>
    </w:p>
    <w:p>
      <w:pPr>
        <w:pStyle w:val="6"/>
        <w:pBdr>
          <w:top w:val="none" w:color="auto" w:sz="0" w:space="0"/>
          <w:left w:val="none" w:color="auto" w:sz="0" w:space="0"/>
          <w:bottom w:val="none" w:color="auto" w:sz="0" w:space="0"/>
          <w:right w:val="none" w:color="auto" w:sz="0" w:space="0"/>
          <w:between w:val="none" w:color="auto" w:sz="0" w:space="0"/>
        </w:pBdr>
        <w:spacing w:beforeAutospacing="0" w:afterAutospacing="0" w:line="560" w:lineRule="exact"/>
        <w:ind w:left="1598" w:leftChars="304" w:hanging="960" w:hangingChars="300"/>
        <w:jc w:val="both"/>
        <w:rPr>
          <w:rFonts w:hint="eastAsia" w:ascii="仿宋_GB2312" w:hAnsi="仿宋_GB2312" w:eastAsia="仿宋_GB2312" w:cs="仿宋_GB2312"/>
          <w:b w:val="0"/>
          <w:bCs w:val="0"/>
          <w:sz w:val="32"/>
          <w:szCs w:val="32"/>
          <w:lang w:eastAsia="zh-CN"/>
        </w:rPr>
      </w:pPr>
      <w:r>
        <w:rPr>
          <w:rFonts w:ascii="仿宋_GB2312" w:eastAsia="仿宋_GB2312" w:cs="仿宋_GB2312"/>
          <w:color w:val="000000"/>
          <w:sz w:val="32"/>
          <w:szCs w:val="32"/>
        </w:rPr>
        <w:t>附件：</w:t>
      </w:r>
      <w:r>
        <w:rPr>
          <w:rFonts w:hint="eastAsia" w:ascii="仿宋_GB2312" w:hAnsi="仿宋_GB2312" w:eastAsia="仿宋_GB2312" w:cs="仿宋_GB2312"/>
          <w:b w:val="0"/>
          <w:bCs w:val="0"/>
          <w:sz w:val="32"/>
          <w:szCs w:val="32"/>
          <w:lang w:eastAsia="zh-CN"/>
        </w:rPr>
        <w:t>1.</w:t>
      </w:r>
      <w:r>
        <w:rPr>
          <w:rFonts w:hint="eastAsia" w:ascii="仿宋_GB2312" w:hAnsi="仿宋_GB2312" w:eastAsia="仿宋_GB2312" w:cs="仿宋_GB2312"/>
          <w:b w:val="0"/>
          <w:bCs w:val="0"/>
          <w:sz w:val="32"/>
          <w:szCs w:val="32"/>
          <w:lang w:val="en-US" w:eastAsia="zh-CN"/>
        </w:rPr>
        <w:t>区本级直属企业国有资本收益(应交利润)申报表</w:t>
      </w:r>
    </w:p>
    <w:p>
      <w:pPr>
        <w:pStyle w:val="6"/>
        <w:numPr>
          <w:ilvl w:val="0"/>
          <w:numId w:val="2"/>
        </w:numPr>
        <w:pBdr>
          <w:top w:val="none" w:color="auto" w:sz="0" w:space="0"/>
          <w:left w:val="none" w:color="auto" w:sz="0" w:space="0"/>
          <w:bottom w:val="none" w:color="auto" w:sz="0" w:space="0"/>
          <w:right w:val="none" w:color="auto" w:sz="0" w:space="0"/>
          <w:between w:val="none" w:color="auto" w:sz="0" w:space="0"/>
        </w:pBdr>
        <w:spacing w:beforeAutospacing="0" w:afterAutospacing="0" w:line="560" w:lineRule="exact"/>
        <w:ind w:left="1596" w:leftChars="760"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区本级直属企业国有资本收益(国有股股利、股息)申报表</w:t>
      </w:r>
    </w:p>
    <w:p>
      <w:pPr>
        <w:pStyle w:val="6"/>
        <w:numPr>
          <w:ilvl w:val="0"/>
          <w:numId w:val="2"/>
        </w:numPr>
        <w:pBdr>
          <w:top w:val="none" w:color="auto" w:sz="0" w:space="0"/>
          <w:left w:val="none" w:color="auto" w:sz="0" w:space="0"/>
          <w:bottom w:val="none" w:color="auto" w:sz="0" w:space="0"/>
          <w:right w:val="none" w:color="auto" w:sz="0" w:space="0"/>
          <w:between w:val="none" w:color="auto" w:sz="0" w:space="0"/>
        </w:pBdr>
        <w:spacing w:beforeAutospacing="0" w:afterAutospacing="0" w:line="560" w:lineRule="exact"/>
        <w:ind w:left="1596" w:leftChars="760" w:firstLine="0" w:firstLineChars="0"/>
        <w:jc w:val="both"/>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区本级直属企业国有资本收益(国有产权转让收入)申报表</w:t>
      </w:r>
    </w:p>
    <w:p>
      <w:pPr>
        <w:pStyle w:val="6"/>
        <w:numPr>
          <w:ilvl w:val="0"/>
          <w:numId w:val="2"/>
        </w:numPr>
        <w:pBdr>
          <w:top w:val="none" w:color="auto" w:sz="0" w:space="0"/>
          <w:left w:val="none" w:color="auto" w:sz="0" w:space="0"/>
          <w:bottom w:val="none" w:color="auto" w:sz="0" w:space="0"/>
          <w:right w:val="none" w:color="auto" w:sz="0" w:space="0"/>
          <w:between w:val="none" w:color="auto" w:sz="0" w:space="0"/>
        </w:pBdr>
        <w:spacing w:beforeAutospacing="0" w:afterAutospacing="0" w:line="560" w:lineRule="exact"/>
        <w:ind w:left="1596" w:leftChars="760"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区本级直属企业国有资本收益(企业清算收入)申报表</w:t>
      </w:r>
    </w:p>
    <w:p>
      <w:pPr>
        <w:pStyle w:val="6"/>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Autospacing="0" w:afterAutospacing="0" w:line="560" w:lineRule="exact"/>
        <w:jc w:val="both"/>
        <w:rPr>
          <w:rFonts w:hint="eastAsia" w:ascii="仿宋_GB2312" w:hAnsi="仿宋_GB2312" w:eastAsia="仿宋_GB2312" w:cs="仿宋_GB2312"/>
          <w:b w:val="0"/>
          <w:bCs w:val="0"/>
          <w:sz w:val="32"/>
          <w:szCs w:val="32"/>
          <w:lang w:val="en-US" w:eastAsia="zh-CN"/>
        </w:rPr>
      </w:pPr>
    </w:p>
    <w:p>
      <w:pPr>
        <w:pStyle w:val="6"/>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Autospacing="0" w:afterAutospacing="0" w:line="560" w:lineRule="exact"/>
        <w:jc w:val="both"/>
        <w:rPr>
          <w:rFonts w:hint="eastAsia" w:ascii="仿宋_GB2312" w:hAnsi="仿宋_GB2312" w:eastAsia="仿宋_GB2312" w:cs="仿宋_GB2312"/>
          <w:b w:val="0"/>
          <w:bCs w:val="0"/>
          <w:sz w:val="32"/>
          <w:szCs w:val="32"/>
          <w:lang w:val="en-US" w:eastAsia="zh-CN"/>
        </w:rPr>
      </w:pPr>
    </w:p>
    <w:p>
      <w:pPr>
        <w:pStyle w:val="6"/>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Autospacing="0" w:afterAutospacing="0" w:line="560" w:lineRule="exact"/>
        <w:jc w:val="both"/>
        <w:rPr>
          <w:rFonts w:hint="eastAsia" w:ascii="仿宋_GB2312" w:hAnsi="仿宋_GB2312" w:eastAsia="仿宋_GB2312" w:cs="仿宋_GB2312"/>
          <w:b w:val="0"/>
          <w:bCs w:val="0"/>
          <w:sz w:val="32"/>
          <w:szCs w:val="32"/>
          <w:lang w:val="en-US" w:eastAsia="zh-CN"/>
        </w:rPr>
      </w:pPr>
    </w:p>
    <w:p>
      <w:pPr>
        <w:pStyle w:val="6"/>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Autospacing="0" w:afterAutospacing="0" w:line="560" w:lineRule="exact"/>
        <w:jc w:val="both"/>
        <w:rPr>
          <w:rFonts w:hint="eastAsia" w:ascii="仿宋_GB2312" w:hAnsi="仿宋_GB2312" w:eastAsia="仿宋_GB2312" w:cs="仿宋_GB2312"/>
          <w:b w:val="0"/>
          <w:bCs w:val="0"/>
          <w:sz w:val="32"/>
          <w:szCs w:val="32"/>
          <w:lang w:val="en-US" w:eastAsia="zh-CN"/>
        </w:rPr>
      </w:pPr>
    </w:p>
    <w:p>
      <w:pPr>
        <w:pStyle w:val="6"/>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Autospacing="0" w:afterAutospacing="0" w:line="560" w:lineRule="exact"/>
        <w:jc w:val="both"/>
        <w:rPr>
          <w:rFonts w:hint="eastAsia" w:ascii="仿宋_GB2312" w:hAnsi="仿宋_GB2312" w:eastAsia="仿宋_GB2312" w:cs="仿宋_GB2312"/>
          <w:b w:val="0"/>
          <w:bCs w:val="0"/>
          <w:sz w:val="32"/>
          <w:szCs w:val="32"/>
          <w:lang w:val="en-US" w:eastAsia="zh-CN"/>
        </w:rPr>
      </w:pPr>
    </w:p>
    <w:p>
      <w:pPr>
        <w:pStyle w:val="6"/>
        <w:widowControl/>
        <w:numPr>
          <w:ilvl w:val="0"/>
          <w:numId w:val="0"/>
        </w:numPr>
        <w:pBdr>
          <w:top w:val="none" w:color="auto" w:sz="0" w:space="0"/>
          <w:left w:val="none" w:color="auto" w:sz="0" w:space="0"/>
          <w:bottom w:val="none" w:color="auto" w:sz="0" w:space="0"/>
          <w:right w:val="none" w:color="auto" w:sz="0" w:space="0"/>
          <w:between w:val="none" w:color="auto" w:sz="0" w:space="0"/>
        </w:pBdr>
        <w:spacing w:beforeAutospacing="0" w:afterAutospacing="0" w:line="560" w:lineRule="exact"/>
        <w:jc w:val="both"/>
        <w:rPr>
          <w:rFonts w:hint="eastAsia" w:ascii="仿宋_GB2312" w:hAnsi="仿宋_GB2312" w:eastAsia="仿宋_GB2312" w:cs="仿宋_GB2312"/>
          <w:b w:val="0"/>
          <w:bCs w:val="0"/>
          <w:sz w:val="32"/>
          <w:szCs w:val="32"/>
          <w:lang w:val="en-US" w:eastAsia="zh-CN"/>
        </w:rPr>
      </w:pPr>
    </w:p>
    <w:p>
      <w:pPr>
        <w:pStyle w:val="6"/>
        <w:spacing w:line="480" w:lineRule="exact"/>
        <w:rPr>
          <w:rFonts w:hint="eastAsia" w:ascii="黑体" w:eastAsia="黑体"/>
          <w:sz w:val="32"/>
          <w:szCs w:val="32"/>
        </w:rPr>
      </w:pPr>
    </w:p>
    <w:p>
      <w:pPr>
        <w:pStyle w:val="6"/>
        <w:spacing w:line="480" w:lineRule="exact"/>
        <w:rPr>
          <w:rFonts w:hint="eastAsia" w:ascii="黑体" w:eastAsia="黑体"/>
          <w:sz w:val="32"/>
          <w:szCs w:val="32"/>
        </w:rPr>
      </w:pPr>
    </w:p>
    <w:p>
      <w:pPr>
        <w:pStyle w:val="6"/>
        <w:spacing w:line="520" w:lineRule="exact"/>
        <w:rPr>
          <w:rFonts w:hint="eastAsia" w:ascii="黑体" w:eastAsia="黑体"/>
          <w:sz w:val="30"/>
          <w:szCs w:val="30"/>
        </w:rPr>
      </w:pPr>
      <w:r>
        <w:rPr>
          <w:rFonts w:hint="eastAsia" w:ascii="黑体" w:eastAsia="黑体"/>
          <w:sz w:val="30"/>
          <w:szCs w:val="30"/>
        </w:rPr>
        <w:t>附件</w:t>
      </w:r>
      <w:r>
        <w:rPr>
          <w:rFonts w:hint="eastAsia" w:ascii="黑体" w:eastAsia="黑体"/>
          <w:sz w:val="30"/>
          <w:szCs w:val="30"/>
          <w:lang w:val="en-US" w:eastAsia="zh-CN"/>
        </w:rPr>
        <w:t>1</w:t>
      </w:r>
    </w:p>
    <w:p>
      <w:pPr>
        <w:pStyle w:val="6"/>
        <w:spacing w:line="480" w:lineRule="exact"/>
        <w:ind w:firstLine="960" w:firstLineChars="300"/>
        <w:jc w:val="both"/>
        <w:rPr>
          <w:rFonts w:hint="eastAsia" w:ascii="方正小标宋简体" w:hAnsi="华文中宋" w:eastAsia="方正小标宋简体"/>
          <w:sz w:val="32"/>
          <w:szCs w:val="32"/>
        </w:rPr>
      </w:pPr>
      <w:r>
        <w:rPr>
          <w:rFonts w:hint="eastAsia" w:ascii="方正小标宋简体" w:hAnsi="华文中宋" w:eastAsia="方正小标宋简体"/>
          <w:sz w:val="32"/>
          <w:szCs w:val="32"/>
          <w:lang w:val="en-US" w:eastAsia="zh-CN"/>
        </w:rPr>
        <w:t>区本级</w:t>
      </w:r>
      <w:r>
        <w:rPr>
          <w:rFonts w:hint="eastAsia" w:ascii="方正小标宋简体" w:hAnsi="华文中宋" w:eastAsia="方正小标宋简体"/>
          <w:sz w:val="32"/>
          <w:szCs w:val="32"/>
        </w:rPr>
        <w:t>直属企业国有资本收益（应交利润）申报表</w:t>
      </w:r>
    </w:p>
    <w:p>
      <w:pPr>
        <w:pStyle w:val="6"/>
        <w:spacing w:line="480" w:lineRule="exact"/>
        <w:jc w:val="center"/>
        <w:rPr>
          <w:rFonts w:hint="eastAsia" w:ascii="方正小标宋简体" w:hAnsi="华文中宋" w:eastAsia="方正小标宋简体"/>
          <w:sz w:val="21"/>
          <w:szCs w:val="21"/>
          <w:lang w:val="en-US" w:eastAsia="zh-CN"/>
        </w:rPr>
      </w:pPr>
      <w:r>
        <w:rPr>
          <w:rFonts w:hint="eastAsia" w:ascii="方正小标宋简体" w:hAnsi="华文中宋" w:eastAsia="方正小标宋简体"/>
          <w:sz w:val="21"/>
          <w:szCs w:val="21"/>
          <w:lang w:val="en-US" w:eastAsia="zh-CN"/>
        </w:rPr>
        <w:t>（   ） 年度</w:t>
      </w:r>
    </w:p>
    <w:tbl>
      <w:tblPr>
        <w:tblStyle w:val="7"/>
        <w:tblpPr w:leftFromText="180" w:rightFromText="180" w:vertAnchor="text" w:horzAnchor="page" w:tblpX="1678" w:tblpY="229"/>
        <w:tblOverlap w:val="never"/>
        <w:tblW w:w="8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3390"/>
        <w:gridCol w:w="1701"/>
        <w:gridCol w:w="1701"/>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837" w:type="dxa"/>
            <w:gridSpan w:val="5"/>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876"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企业名称</w:t>
            </w:r>
          </w:p>
        </w:tc>
        <w:tc>
          <w:tcPr>
            <w:tcW w:w="4961" w:type="dxa"/>
            <w:gridSpan w:val="3"/>
            <w:tcMar>
              <w:left w:w="0" w:type="dxa"/>
              <w:right w:w="0" w:type="dxa"/>
            </w:tcMar>
            <w:vAlign w:val="center"/>
          </w:tcPr>
          <w:p>
            <w:pPr>
              <w:widowControl/>
              <w:ind w:left="-283" w:leftChars="-135" w:firstLine="283" w:firstLineChars="118"/>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876"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注册地址</w:t>
            </w:r>
          </w:p>
        </w:tc>
        <w:tc>
          <w:tcPr>
            <w:tcW w:w="4961" w:type="dxa"/>
            <w:gridSpan w:val="3"/>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3876" w:type="dxa"/>
            <w:gridSpan w:val="2"/>
            <w:tcMar>
              <w:left w:w="0" w:type="dxa"/>
              <w:right w:w="0" w:type="dxa"/>
            </w:tcMar>
            <w:vAlign w:val="center"/>
          </w:tcPr>
          <w:p>
            <w:pPr>
              <w:widowControl/>
              <w:jc w:val="center"/>
              <w:rPr>
                <w:rFonts w:ascii="宋体" w:cs="宋体"/>
                <w:color w:val="000000"/>
                <w:kern w:val="0"/>
                <w:sz w:val="22"/>
                <w:szCs w:val="24"/>
              </w:rPr>
            </w:pPr>
            <w:r>
              <w:rPr>
                <w:rFonts w:hint="eastAsia" w:ascii="宋体" w:hAnsi="宋体" w:cs="宋体"/>
                <w:color w:val="000000"/>
                <w:kern w:val="0"/>
                <w:sz w:val="24"/>
                <w:szCs w:val="24"/>
              </w:rPr>
              <w:t>组织形式</w:t>
            </w:r>
          </w:p>
        </w:tc>
        <w:tc>
          <w:tcPr>
            <w:tcW w:w="4961" w:type="dxa"/>
            <w:gridSpan w:val="3"/>
            <w:tcMar>
              <w:left w:w="0" w:type="dxa"/>
              <w:right w:w="0" w:type="dxa"/>
            </w:tcMar>
            <w:vAlign w:val="center"/>
          </w:tcPr>
          <w:p>
            <w:pPr>
              <w:widowControl/>
              <w:jc w:val="center"/>
              <w:rPr>
                <w:rFonts w:ascii="宋体" w:cs="宋体"/>
                <w:color w:val="000000"/>
                <w:kern w:val="0"/>
                <w:sz w:val="22"/>
                <w:szCs w:val="24"/>
              </w:rPr>
            </w:pPr>
            <w:r>
              <w:rPr>
                <w:rFonts w:hint="eastAsia" w:ascii="宋体" w:hAnsi="宋体" w:cs="宋体"/>
                <w:color w:val="000000"/>
                <w:kern w:val="0"/>
                <w:sz w:val="22"/>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876"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所处行业</w:t>
            </w:r>
          </w:p>
        </w:tc>
        <w:tc>
          <w:tcPr>
            <w:tcW w:w="4961" w:type="dxa"/>
            <w:gridSpan w:val="3"/>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876"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注册资本</w:t>
            </w:r>
          </w:p>
        </w:tc>
        <w:tc>
          <w:tcPr>
            <w:tcW w:w="4961" w:type="dxa"/>
            <w:gridSpan w:val="3"/>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876"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开户银行</w:t>
            </w:r>
          </w:p>
        </w:tc>
        <w:tc>
          <w:tcPr>
            <w:tcW w:w="4961" w:type="dxa"/>
            <w:gridSpan w:val="3"/>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876"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银行账号</w:t>
            </w:r>
          </w:p>
        </w:tc>
        <w:tc>
          <w:tcPr>
            <w:tcW w:w="4961" w:type="dxa"/>
            <w:gridSpan w:val="3"/>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876"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财务经理</w:t>
            </w:r>
          </w:p>
        </w:tc>
        <w:tc>
          <w:tcPr>
            <w:tcW w:w="4961" w:type="dxa"/>
            <w:gridSpan w:val="3"/>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876"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联系电话</w:t>
            </w:r>
          </w:p>
        </w:tc>
        <w:tc>
          <w:tcPr>
            <w:tcW w:w="4961" w:type="dxa"/>
            <w:gridSpan w:val="3"/>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837" w:type="dxa"/>
            <w:gridSpan w:val="5"/>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应交国有资本收益申报情况（万元）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86"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3390"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项　　目</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申报数</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2"/>
                <w:szCs w:val="24"/>
              </w:rPr>
              <w:t>监管部门审核数</w:t>
            </w:r>
          </w:p>
        </w:tc>
        <w:tc>
          <w:tcPr>
            <w:tcW w:w="1559"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2"/>
                <w:szCs w:val="24"/>
              </w:rPr>
              <w:t>财政</w:t>
            </w:r>
            <w:r>
              <w:rPr>
                <w:rFonts w:hint="eastAsia" w:ascii="宋体" w:hAnsi="宋体" w:cs="宋体"/>
                <w:color w:val="000000"/>
                <w:kern w:val="0"/>
                <w:sz w:val="22"/>
                <w:szCs w:val="24"/>
                <w:lang w:val="en-US" w:eastAsia="zh-CN"/>
              </w:rPr>
              <w:t>部门</w:t>
            </w:r>
            <w:r>
              <w:rPr>
                <w:rFonts w:hint="eastAsia" w:ascii="宋体" w:hAnsi="宋体" w:cs="宋体"/>
                <w:color w:val="000000"/>
                <w:kern w:val="0"/>
                <w:sz w:val="22"/>
                <w:szCs w:val="24"/>
              </w:rPr>
              <w:t>复核数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1</w:t>
            </w:r>
          </w:p>
        </w:tc>
        <w:tc>
          <w:tcPr>
            <w:tcW w:w="3390"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合并净利润</w:t>
            </w:r>
          </w:p>
        </w:tc>
        <w:tc>
          <w:tcPr>
            <w:tcW w:w="1701" w:type="dxa"/>
            <w:tcMar>
              <w:left w:w="0" w:type="dxa"/>
              <w:right w:w="0" w:type="dxa"/>
            </w:tcMar>
            <w:vAlign w:val="center"/>
          </w:tcPr>
          <w:p>
            <w:pPr>
              <w:widowControl/>
              <w:ind w:right="-281" w:rightChars="-134"/>
              <w:jc w:val="center"/>
              <w:rPr>
                <w:rFonts w:ascii="宋体" w:cs="宋体"/>
                <w:color w:val="000000"/>
                <w:kern w:val="0"/>
                <w:sz w:val="24"/>
                <w:szCs w:val="24"/>
              </w:rPr>
            </w:pPr>
            <w:r>
              <w:rPr>
                <w:rFonts w:ascii="宋体" w:hAnsi="宋体" w:cs="宋体"/>
                <w:color w:val="000000"/>
                <w:kern w:val="0"/>
                <w:sz w:val="24"/>
                <w:szCs w:val="24"/>
              </w:rPr>
              <w:t xml:space="preserve">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559"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2</w:t>
            </w:r>
          </w:p>
        </w:tc>
        <w:tc>
          <w:tcPr>
            <w:tcW w:w="3390"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减：少数股东损益</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ind w:left="142" w:hanging="141" w:hangingChars="59"/>
              <w:jc w:val="center"/>
              <w:rPr>
                <w:rFonts w:ascii="宋体" w:cs="宋体"/>
                <w:color w:val="000000"/>
                <w:kern w:val="0"/>
                <w:sz w:val="24"/>
                <w:szCs w:val="24"/>
              </w:rPr>
            </w:pPr>
            <w:r>
              <w:rPr>
                <w:rFonts w:hint="eastAsia" w:ascii="宋体" w:hAnsi="宋体" w:cs="宋体"/>
                <w:color w:val="000000"/>
                <w:kern w:val="0"/>
                <w:sz w:val="24"/>
                <w:szCs w:val="24"/>
              </w:rPr>
              <w:t>　</w:t>
            </w:r>
          </w:p>
        </w:tc>
        <w:tc>
          <w:tcPr>
            <w:tcW w:w="1559"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3</w:t>
            </w:r>
          </w:p>
        </w:tc>
        <w:tc>
          <w:tcPr>
            <w:tcW w:w="3390"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归属于母公司所有者的净利润</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559"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4</w:t>
            </w:r>
          </w:p>
        </w:tc>
        <w:tc>
          <w:tcPr>
            <w:tcW w:w="3390"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减：弥补以前年度亏损</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559"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5</w:t>
            </w:r>
          </w:p>
        </w:tc>
        <w:tc>
          <w:tcPr>
            <w:tcW w:w="3390"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减：提取法定公积金</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559"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6</w:t>
            </w:r>
          </w:p>
        </w:tc>
        <w:tc>
          <w:tcPr>
            <w:tcW w:w="3390"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上交利润基数</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559"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7</w:t>
            </w:r>
          </w:p>
        </w:tc>
        <w:tc>
          <w:tcPr>
            <w:tcW w:w="3390"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上交利润比例</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559"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8</w:t>
            </w:r>
          </w:p>
        </w:tc>
        <w:tc>
          <w:tcPr>
            <w:tcW w:w="3390"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本期应交利润</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559"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9</w:t>
            </w:r>
          </w:p>
        </w:tc>
        <w:tc>
          <w:tcPr>
            <w:tcW w:w="3390"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加：以前年度欠交利润</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559"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10</w:t>
            </w:r>
          </w:p>
        </w:tc>
        <w:tc>
          <w:tcPr>
            <w:tcW w:w="3390"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减：本期已交利润</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559"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11</w:t>
            </w:r>
          </w:p>
        </w:tc>
        <w:tc>
          <w:tcPr>
            <w:tcW w:w="3390"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应交（退）利润余额</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559"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837" w:type="dxa"/>
            <w:gridSpan w:val="5"/>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附送资料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837" w:type="dxa"/>
            <w:gridSpan w:val="5"/>
            <w:tcMar>
              <w:left w:w="0" w:type="dxa"/>
              <w:right w:w="0" w:type="dxa"/>
            </w:tcMar>
            <w:vAlign w:val="center"/>
          </w:tcPr>
          <w:p>
            <w:pPr>
              <w:widowControl/>
              <w:jc w:val="left"/>
              <w:rPr>
                <w:rFonts w:ascii="宋体"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年度审计报告　　</w:t>
            </w:r>
            <w:r>
              <w:rPr>
                <w:rFonts w:ascii="宋体" w:hAnsi="宋体" w:cs="宋体"/>
                <w:color w:val="000000"/>
                <w:kern w:val="0"/>
                <w:sz w:val="24"/>
                <w:szCs w:val="24"/>
              </w:rPr>
              <w:t>2.</w:t>
            </w:r>
            <w:r>
              <w:rPr>
                <w:rFonts w:hint="eastAsia" w:ascii="宋体" w:hAnsi="宋体" w:cs="宋体"/>
                <w:color w:val="000000"/>
                <w:kern w:val="0"/>
                <w:sz w:val="24"/>
                <w:szCs w:val="24"/>
              </w:rPr>
              <w:t>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6"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声</w:t>
            </w:r>
          </w:p>
          <w:p>
            <w:pPr>
              <w:widowControl/>
              <w:jc w:val="center"/>
              <w:rPr>
                <w:rFonts w:ascii="宋体" w:cs="宋体"/>
                <w:color w:val="000000"/>
                <w:kern w:val="0"/>
                <w:sz w:val="24"/>
                <w:szCs w:val="24"/>
              </w:rPr>
            </w:pPr>
          </w:p>
          <w:p>
            <w:pPr>
              <w:widowControl/>
              <w:jc w:val="center"/>
              <w:rPr>
                <w:rFonts w:ascii="宋体" w:cs="宋体"/>
                <w:color w:val="000000"/>
                <w:kern w:val="0"/>
                <w:sz w:val="24"/>
                <w:szCs w:val="24"/>
              </w:rPr>
            </w:pPr>
            <w:r>
              <w:rPr>
                <w:rFonts w:hint="eastAsia" w:ascii="宋体" w:hAnsi="宋体" w:cs="宋体"/>
                <w:color w:val="000000"/>
                <w:kern w:val="0"/>
                <w:sz w:val="24"/>
                <w:szCs w:val="24"/>
              </w:rPr>
              <w:t>明</w:t>
            </w:r>
          </w:p>
        </w:tc>
        <w:tc>
          <w:tcPr>
            <w:tcW w:w="8351" w:type="dxa"/>
            <w:gridSpan w:val="4"/>
            <w:tcMar>
              <w:left w:w="0" w:type="dxa"/>
              <w:right w:w="0" w:type="dxa"/>
            </w:tcMar>
            <w:vAlign w:val="center"/>
          </w:tcPr>
          <w:p>
            <w:pPr>
              <w:widowControl/>
              <w:spacing w:line="440" w:lineRule="exact"/>
              <w:jc w:val="left"/>
              <w:rPr>
                <w:rFonts w:ascii="宋体" w:cs="宋体"/>
                <w:color w:val="000000"/>
                <w:kern w:val="0"/>
                <w:sz w:val="24"/>
                <w:szCs w:val="24"/>
              </w:rPr>
            </w:pPr>
            <w:r>
              <w:rPr>
                <w:rFonts w:hint="eastAsia" w:ascii="宋体" w:hAnsi="宋体" w:cs="宋体"/>
                <w:color w:val="000000"/>
                <w:kern w:val="0"/>
                <w:sz w:val="24"/>
                <w:szCs w:val="24"/>
              </w:rPr>
              <w:t>本公司对以上情况及申报资料的真实性承担法律责任。</w:t>
            </w:r>
            <w:r>
              <w:rPr>
                <w:rFonts w:ascii="宋体" w:cs="宋体"/>
                <w:color w:val="000000"/>
                <w:kern w:val="0"/>
                <w:sz w:val="24"/>
                <w:szCs w:val="24"/>
              </w:rPr>
              <w:br w:type="textWrapping"/>
            </w:r>
            <w:r>
              <w:rPr>
                <w:rFonts w:ascii="宋体" w:hAnsi="宋体" w:cs="宋体"/>
                <w:color w:val="000000"/>
                <w:kern w:val="0"/>
                <w:sz w:val="24"/>
                <w:szCs w:val="24"/>
              </w:rPr>
              <w:t xml:space="preserve">               </w:t>
            </w:r>
            <w:r>
              <w:rPr>
                <w:rFonts w:hint="eastAsia" w:ascii="宋体" w:hAnsi="宋体" w:cs="宋体"/>
                <w:color w:val="000000"/>
                <w:kern w:val="0"/>
                <w:sz w:val="24"/>
                <w:szCs w:val="24"/>
              </w:rPr>
              <w:t>法人代表（签章）：</w:t>
            </w:r>
            <w:r>
              <w:rPr>
                <w:rFonts w:ascii="宋体" w:hAnsi="宋体" w:cs="宋体"/>
                <w:color w:val="000000"/>
                <w:kern w:val="0"/>
                <w:sz w:val="24"/>
                <w:szCs w:val="24"/>
              </w:rPr>
              <w:t xml:space="preserve">            </w:t>
            </w:r>
            <w:r>
              <w:rPr>
                <w:rFonts w:hint="eastAsia" w:ascii="宋体" w:hAnsi="宋体" w:cs="宋体"/>
                <w:color w:val="000000"/>
                <w:kern w:val="0"/>
                <w:sz w:val="24"/>
                <w:szCs w:val="24"/>
              </w:rPr>
              <w:t>（公章）</w:t>
            </w:r>
            <w:r>
              <w:rPr>
                <w:rFonts w:ascii="宋体" w:cs="宋体"/>
                <w:color w:val="000000"/>
                <w:kern w:val="0"/>
                <w:sz w:val="24"/>
                <w:szCs w:val="24"/>
              </w:rPr>
              <w:br w:type="textWrapping"/>
            </w:r>
            <w:r>
              <w:rPr>
                <w:rFonts w:ascii="宋体" w:hAnsi="宋体" w:cs="宋体"/>
                <w:color w:val="000000"/>
                <w:kern w:val="0"/>
                <w:sz w:val="24"/>
                <w:szCs w:val="24"/>
              </w:rPr>
              <w:t xml:space="preserve">                                          </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　年　</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月　</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日</w:t>
            </w:r>
          </w:p>
        </w:tc>
      </w:tr>
    </w:tbl>
    <w:p>
      <w:pPr>
        <w:pStyle w:val="6"/>
        <w:spacing w:line="340" w:lineRule="exact"/>
        <w:ind w:firstLine="980" w:firstLineChars="350"/>
        <w:rPr>
          <w:sz w:val="28"/>
          <w:szCs w:val="28"/>
        </w:rPr>
      </w:pPr>
      <w:r>
        <w:rPr>
          <w:rFonts w:hint="eastAsia"/>
          <w:sz w:val="28"/>
          <w:szCs w:val="28"/>
        </w:rPr>
        <w:t>总会计师：</w:t>
      </w:r>
      <w:r>
        <w:rPr>
          <w:sz w:val="28"/>
          <w:szCs w:val="28"/>
        </w:rPr>
        <w:t xml:space="preserve">                        </w:t>
      </w:r>
      <w:r>
        <w:rPr>
          <w:rFonts w:hint="eastAsia"/>
          <w:sz w:val="28"/>
          <w:szCs w:val="28"/>
        </w:rPr>
        <w:t>经办人：</w:t>
      </w:r>
    </w:p>
    <w:p>
      <w:pPr>
        <w:pStyle w:val="6"/>
        <w:spacing w:line="340" w:lineRule="exact"/>
        <w:rPr>
          <w:rFonts w:hint="eastAsia"/>
          <w:sz w:val="28"/>
          <w:szCs w:val="28"/>
        </w:rPr>
      </w:pPr>
    </w:p>
    <w:p>
      <w:pPr>
        <w:pStyle w:val="6"/>
        <w:spacing w:line="520" w:lineRule="exact"/>
        <w:rPr>
          <w:rFonts w:hint="eastAsia"/>
          <w:sz w:val="32"/>
          <w:szCs w:val="32"/>
        </w:rPr>
      </w:pPr>
      <w:r>
        <w:rPr>
          <w:rFonts w:hint="eastAsia" w:ascii="楷体" w:hAnsi="楷体" w:eastAsia="楷体"/>
          <w:sz w:val="28"/>
          <w:szCs w:val="28"/>
        </w:rPr>
        <w:t xml:space="preserve">  注：国有独资企业</w:t>
      </w:r>
      <w:r>
        <w:rPr>
          <w:rFonts w:hint="eastAsia" w:ascii="楷体" w:hAnsi="楷体" w:eastAsia="楷体"/>
          <w:sz w:val="28"/>
          <w:szCs w:val="28"/>
          <w:lang w:val="en-US" w:eastAsia="zh-CN"/>
        </w:rPr>
        <w:t>依据XX年度企业财务决算报告</w:t>
      </w:r>
      <w:r>
        <w:rPr>
          <w:rFonts w:hint="eastAsia" w:ascii="楷体" w:hAnsi="楷体" w:eastAsia="楷体"/>
          <w:sz w:val="28"/>
          <w:szCs w:val="28"/>
        </w:rPr>
        <w:t>填报本表。</w:t>
      </w:r>
      <w:r>
        <w:rPr>
          <w:sz w:val="28"/>
          <w:szCs w:val="28"/>
        </w:rPr>
        <w:br w:type="page"/>
      </w:r>
      <w:r>
        <w:rPr>
          <w:rFonts w:hint="eastAsia" w:ascii="黑体" w:eastAsia="黑体"/>
          <w:sz w:val="30"/>
          <w:szCs w:val="30"/>
        </w:rPr>
        <w:t>附件</w:t>
      </w:r>
      <w:r>
        <w:rPr>
          <w:rFonts w:hint="eastAsia" w:ascii="黑体" w:eastAsia="黑体"/>
          <w:sz w:val="30"/>
          <w:szCs w:val="30"/>
          <w:lang w:val="en-US" w:eastAsia="zh-CN"/>
        </w:rPr>
        <w:t>2</w:t>
      </w:r>
    </w:p>
    <w:p>
      <w:pPr>
        <w:pStyle w:val="6"/>
        <w:spacing w:line="520" w:lineRule="exact"/>
        <w:jc w:val="center"/>
        <w:rPr>
          <w:rFonts w:hint="eastAsia" w:ascii="方正小标宋简体" w:hAnsi="方正小标宋简体" w:eastAsia="方正小标宋简体" w:cs="方正小标宋简体"/>
          <w:spacing w:val="-10"/>
          <w:sz w:val="32"/>
          <w:szCs w:val="32"/>
        </w:rPr>
      </w:pPr>
      <w:r>
        <w:rPr>
          <w:rFonts w:hint="eastAsia" w:ascii="方正小标宋简体" w:hAnsi="方正小标宋简体" w:eastAsia="方正小标宋简体" w:cs="方正小标宋简体"/>
          <w:sz w:val="32"/>
          <w:szCs w:val="32"/>
          <w:lang w:val="en-US" w:eastAsia="zh-CN"/>
        </w:rPr>
        <w:t>区本级</w:t>
      </w:r>
      <w:r>
        <w:rPr>
          <w:rFonts w:hint="eastAsia" w:ascii="方正小标宋简体" w:hAnsi="方正小标宋简体" w:eastAsia="方正小标宋简体" w:cs="方正小标宋简体"/>
          <w:spacing w:val="-10"/>
          <w:sz w:val="32"/>
          <w:szCs w:val="32"/>
        </w:rPr>
        <w:t>直属企业国有资本收益（国有股股利、股息）申报表</w:t>
      </w:r>
    </w:p>
    <w:p>
      <w:pPr>
        <w:pStyle w:val="6"/>
        <w:spacing w:line="480" w:lineRule="exact"/>
        <w:jc w:val="center"/>
        <w:rPr>
          <w:rFonts w:hint="eastAsia" w:ascii="方正小标宋简体" w:hAnsi="华文中宋" w:eastAsia="方正小标宋简体"/>
          <w:sz w:val="21"/>
          <w:szCs w:val="21"/>
          <w:lang w:val="en-US" w:eastAsia="zh-CN"/>
        </w:rPr>
      </w:pPr>
      <w:r>
        <w:rPr>
          <w:rFonts w:hint="eastAsia" w:ascii="方正小标宋简体" w:hAnsi="华文中宋" w:eastAsia="方正小标宋简体"/>
          <w:sz w:val="21"/>
          <w:szCs w:val="21"/>
          <w:lang w:val="en-US" w:eastAsia="zh-CN"/>
        </w:rPr>
        <w:t>（   ） 年度</w:t>
      </w:r>
    </w:p>
    <w:tbl>
      <w:tblPr>
        <w:tblStyle w:val="7"/>
        <w:tblW w:w="9145" w:type="dxa"/>
        <w:tblInd w:w="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3402"/>
        <w:gridCol w:w="1714"/>
        <w:gridCol w:w="1842"/>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45" w:type="dxa"/>
            <w:gridSpan w:val="5"/>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3888"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企业名称</w:t>
            </w:r>
          </w:p>
        </w:tc>
        <w:tc>
          <w:tcPr>
            <w:tcW w:w="5257" w:type="dxa"/>
            <w:gridSpan w:val="3"/>
            <w:tcMar>
              <w:left w:w="0" w:type="dxa"/>
              <w:right w:w="0" w:type="dxa"/>
            </w:tcMar>
            <w:vAlign w:val="center"/>
          </w:tcPr>
          <w:p>
            <w:pPr>
              <w:widowControl/>
              <w:ind w:left="-271" w:leftChars="-129" w:firstLine="268" w:firstLineChars="112"/>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3888"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注册地址</w:t>
            </w:r>
          </w:p>
        </w:tc>
        <w:tc>
          <w:tcPr>
            <w:tcW w:w="5257" w:type="dxa"/>
            <w:gridSpan w:val="3"/>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3888" w:type="dxa"/>
            <w:gridSpan w:val="2"/>
            <w:tcMar>
              <w:left w:w="0" w:type="dxa"/>
              <w:right w:w="0" w:type="dxa"/>
            </w:tcMar>
            <w:vAlign w:val="center"/>
          </w:tcPr>
          <w:p>
            <w:pPr>
              <w:widowControl/>
              <w:jc w:val="center"/>
              <w:rPr>
                <w:rFonts w:ascii="宋体" w:cs="宋体"/>
                <w:color w:val="000000"/>
                <w:kern w:val="0"/>
                <w:szCs w:val="24"/>
              </w:rPr>
            </w:pPr>
            <w:r>
              <w:rPr>
                <w:rFonts w:hint="eastAsia" w:ascii="宋体" w:hAnsi="宋体" w:cs="宋体"/>
                <w:color w:val="000000"/>
                <w:kern w:val="0"/>
                <w:sz w:val="24"/>
                <w:szCs w:val="24"/>
              </w:rPr>
              <w:t>组织形式</w:t>
            </w:r>
          </w:p>
        </w:tc>
        <w:tc>
          <w:tcPr>
            <w:tcW w:w="5257" w:type="dxa"/>
            <w:gridSpan w:val="3"/>
            <w:tcMar>
              <w:left w:w="0" w:type="dxa"/>
              <w:right w:w="0" w:type="dxa"/>
            </w:tcMar>
            <w:vAlign w:val="center"/>
          </w:tcPr>
          <w:p>
            <w:pPr>
              <w:widowControl/>
              <w:jc w:val="center"/>
              <w:rPr>
                <w:rFonts w:ascii="宋体" w:cs="宋体"/>
                <w:color w:val="000000"/>
                <w:kern w:val="0"/>
                <w:szCs w:val="24"/>
              </w:rPr>
            </w:pPr>
            <w:r>
              <w:rPr>
                <w:rFonts w:hint="eastAsia" w:ascii="宋体" w:hAnsi="宋体" w:cs="宋体"/>
                <w:color w:val="000000"/>
                <w:kern w:val="0"/>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3888"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所处行业</w:t>
            </w:r>
          </w:p>
        </w:tc>
        <w:tc>
          <w:tcPr>
            <w:tcW w:w="5257" w:type="dxa"/>
            <w:gridSpan w:val="3"/>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3888"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注册资本</w:t>
            </w:r>
          </w:p>
        </w:tc>
        <w:tc>
          <w:tcPr>
            <w:tcW w:w="5257" w:type="dxa"/>
            <w:gridSpan w:val="3"/>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3888"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其中：国有股权（股份）</w:t>
            </w:r>
          </w:p>
        </w:tc>
        <w:tc>
          <w:tcPr>
            <w:tcW w:w="5257" w:type="dxa"/>
            <w:gridSpan w:val="3"/>
            <w:tcMar>
              <w:left w:w="0" w:type="dxa"/>
              <w:right w:w="0" w:type="dxa"/>
            </w:tcMar>
            <w:vAlign w:val="center"/>
          </w:tcPr>
          <w:p>
            <w:pPr>
              <w:widowControl/>
              <w:jc w:val="center"/>
              <w:rPr>
                <w:rFonts w:ascii="宋体"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3888"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开户银行</w:t>
            </w:r>
          </w:p>
        </w:tc>
        <w:tc>
          <w:tcPr>
            <w:tcW w:w="5257" w:type="dxa"/>
            <w:gridSpan w:val="3"/>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3888"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银行账号</w:t>
            </w:r>
          </w:p>
        </w:tc>
        <w:tc>
          <w:tcPr>
            <w:tcW w:w="5257" w:type="dxa"/>
            <w:gridSpan w:val="3"/>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3888"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财务经理</w:t>
            </w:r>
          </w:p>
        </w:tc>
        <w:tc>
          <w:tcPr>
            <w:tcW w:w="5257" w:type="dxa"/>
            <w:gridSpan w:val="3"/>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3888" w:type="dxa"/>
            <w:gridSpan w:val="2"/>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联系电话</w:t>
            </w:r>
          </w:p>
        </w:tc>
        <w:tc>
          <w:tcPr>
            <w:tcW w:w="5257" w:type="dxa"/>
            <w:gridSpan w:val="3"/>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45" w:type="dxa"/>
            <w:gridSpan w:val="5"/>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应交国有资本收益申报情况（万元）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486"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3402"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项　　目</w:t>
            </w:r>
          </w:p>
        </w:tc>
        <w:tc>
          <w:tcPr>
            <w:tcW w:w="1714"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申报数</w:t>
            </w:r>
          </w:p>
        </w:tc>
        <w:tc>
          <w:tcPr>
            <w:tcW w:w="1842" w:type="dxa"/>
            <w:tcMar>
              <w:left w:w="0" w:type="dxa"/>
              <w:right w:w="0" w:type="dxa"/>
            </w:tcMar>
            <w:vAlign w:val="center"/>
          </w:tcPr>
          <w:p>
            <w:pPr>
              <w:widowControl/>
              <w:jc w:val="center"/>
              <w:rPr>
                <w:rFonts w:ascii="宋体" w:cs="宋体"/>
                <w:color w:val="000000"/>
                <w:kern w:val="0"/>
                <w:sz w:val="22"/>
                <w:szCs w:val="24"/>
              </w:rPr>
            </w:pPr>
            <w:r>
              <w:rPr>
                <w:rFonts w:hint="eastAsia" w:ascii="宋体" w:hAnsi="宋体" w:cs="宋体"/>
                <w:color w:val="000000"/>
                <w:kern w:val="0"/>
                <w:sz w:val="22"/>
                <w:szCs w:val="24"/>
              </w:rPr>
              <w:t>监管部门审核数</w:t>
            </w:r>
          </w:p>
        </w:tc>
        <w:tc>
          <w:tcPr>
            <w:tcW w:w="1701" w:type="dxa"/>
            <w:tcMar>
              <w:left w:w="0" w:type="dxa"/>
              <w:right w:w="0" w:type="dxa"/>
            </w:tcMar>
            <w:vAlign w:val="center"/>
          </w:tcPr>
          <w:p>
            <w:pPr>
              <w:widowControl/>
              <w:jc w:val="center"/>
              <w:rPr>
                <w:rFonts w:ascii="宋体" w:cs="宋体"/>
                <w:color w:val="000000"/>
                <w:kern w:val="0"/>
                <w:sz w:val="22"/>
                <w:szCs w:val="24"/>
              </w:rPr>
            </w:pPr>
            <w:r>
              <w:rPr>
                <w:rFonts w:hint="eastAsia" w:ascii="宋体" w:hAnsi="宋体" w:cs="宋体"/>
                <w:color w:val="000000"/>
                <w:kern w:val="0"/>
                <w:sz w:val="22"/>
                <w:szCs w:val="24"/>
              </w:rPr>
              <w:t>财政</w:t>
            </w:r>
            <w:r>
              <w:rPr>
                <w:rFonts w:hint="eastAsia" w:ascii="宋体" w:hAnsi="宋体" w:cs="宋体"/>
                <w:color w:val="000000"/>
                <w:kern w:val="0"/>
                <w:sz w:val="22"/>
                <w:szCs w:val="24"/>
                <w:lang w:val="en-US" w:eastAsia="zh-CN"/>
              </w:rPr>
              <w:t>部门</w:t>
            </w:r>
            <w:r>
              <w:rPr>
                <w:rFonts w:hint="eastAsia" w:ascii="宋体" w:hAnsi="宋体" w:cs="宋体"/>
                <w:color w:val="000000"/>
                <w:kern w:val="0"/>
                <w:sz w:val="22"/>
                <w:szCs w:val="24"/>
              </w:rPr>
              <w:t>复核数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1</w:t>
            </w:r>
          </w:p>
        </w:tc>
        <w:tc>
          <w:tcPr>
            <w:tcW w:w="3402"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归属于母公司所有者的净利润</w:t>
            </w:r>
          </w:p>
        </w:tc>
        <w:tc>
          <w:tcPr>
            <w:tcW w:w="1714"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842" w:type="dxa"/>
            <w:tcMar>
              <w:left w:w="0" w:type="dxa"/>
              <w:right w:w="0" w:type="dxa"/>
            </w:tcMar>
            <w:vAlign w:val="center"/>
          </w:tcPr>
          <w:p>
            <w:pPr>
              <w:widowControl/>
              <w:ind w:left="153" w:leftChars="73"/>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2</w:t>
            </w:r>
          </w:p>
        </w:tc>
        <w:tc>
          <w:tcPr>
            <w:tcW w:w="3402"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spacing w:val="-10"/>
                <w:w w:val="63"/>
                <w:kern w:val="0"/>
                <w:sz w:val="24"/>
                <w:szCs w:val="24"/>
              </w:rPr>
              <w:t>加</w:t>
            </w:r>
            <w:r>
              <w:rPr>
                <w:rFonts w:hint="eastAsia" w:ascii="宋体" w:hAnsi="宋体" w:cs="宋体"/>
                <w:color w:val="000000"/>
                <w:spacing w:val="-6"/>
                <w:w w:val="63"/>
                <w:kern w:val="0"/>
                <w:sz w:val="24"/>
                <w:szCs w:val="24"/>
              </w:rPr>
              <w:t>：年初未分配利润（以前年度亏损以“</w:t>
            </w:r>
            <w:r>
              <w:rPr>
                <w:rFonts w:ascii="宋体" w:cs="宋体"/>
                <w:color w:val="000000"/>
                <w:spacing w:val="-6"/>
                <w:w w:val="63"/>
                <w:kern w:val="0"/>
                <w:sz w:val="24"/>
                <w:szCs w:val="24"/>
              </w:rPr>
              <w:t>-</w:t>
            </w:r>
            <w:r>
              <w:rPr>
                <w:rFonts w:hint="eastAsia" w:ascii="宋体" w:hAnsi="宋体" w:cs="宋体"/>
                <w:color w:val="000000"/>
                <w:spacing w:val="-6"/>
                <w:w w:val="63"/>
                <w:kern w:val="0"/>
                <w:sz w:val="24"/>
                <w:szCs w:val="24"/>
              </w:rPr>
              <w:t>”号填列</w:t>
            </w:r>
            <w:r>
              <w:rPr>
                <w:rFonts w:hint="eastAsia" w:ascii="宋体" w:hAnsi="宋体" w:cs="宋体"/>
                <w:color w:val="000000"/>
                <w:spacing w:val="-6"/>
                <w:kern w:val="0"/>
                <w:sz w:val="24"/>
                <w:szCs w:val="24"/>
              </w:rPr>
              <w:t>）</w:t>
            </w:r>
          </w:p>
        </w:tc>
        <w:tc>
          <w:tcPr>
            <w:tcW w:w="1714" w:type="dxa"/>
            <w:tcMar>
              <w:left w:w="0" w:type="dxa"/>
              <w:right w:w="0" w:type="dxa"/>
            </w:tcMar>
            <w:vAlign w:val="center"/>
          </w:tcPr>
          <w:p>
            <w:pPr>
              <w:widowControl/>
              <w:ind w:left="154" w:hanging="153" w:hangingChars="64"/>
              <w:jc w:val="center"/>
              <w:rPr>
                <w:rFonts w:ascii="宋体" w:cs="宋体"/>
                <w:color w:val="000000"/>
                <w:kern w:val="0"/>
                <w:sz w:val="24"/>
                <w:szCs w:val="24"/>
              </w:rPr>
            </w:pPr>
            <w:r>
              <w:rPr>
                <w:rFonts w:hint="eastAsia" w:ascii="宋体" w:hAnsi="宋体" w:cs="宋体"/>
                <w:color w:val="000000"/>
                <w:kern w:val="0"/>
                <w:sz w:val="24"/>
                <w:szCs w:val="24"/>
              </w:rPr>
              <w:t>　</w:t>
            </w:r>
          </w:p>
        </w:tc>
        <w:tc>
          <w:tcPr>
            <w:tcW w:w="1842"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3</w:t>
            </w:r>
          </w:p>
        </w:tc>
        <w:tc>
          <w:tcPr>
            <w:tcW w:w="3402"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可供分配的利润</w:t>
            </w:r>
          </w:p>
        </w:tc>
        <w:tc>
          <w:tcPr>
            <w:tcW w:w="1714"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842"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4</w:t>
            </w:r>
          </w:p>
        </w:tc>
        <w:tc>
          <w:tcPr>
            <w:tcW w:w="3402"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减：提取法定公积金</w:t>
            </w:r>
          </w:p>
        </w:tc>
        <w:tc>
          <w:tcPr>
            <w:tcW w:w="1714"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842"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5</w:t>
            </w:r>
          </w:p>
        </w:tc>
        <w:tc>
          <w:tcPr>
            <w:tcW w:w="3402"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可供分配的利润</w:t>
            </w:r>
          </w:p>
        </w:tc>
        <w:tc>
          <w:tcPr>
            <w:tcW w:w="1714"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842"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6</w:t>
            </w:r>
          </w:p>
        </w:tc>
        <w:tc>
          <w:tcPr>
            <w:tcW w:w="3402"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向投资者分配的利润</w:t>
            </w:r>
          </w:p>
        </w:tc>
        <w:tc>
          <w:tcPr>
            <w:tcW w:w="1714"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842"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7</w:t>
            </w:r>
          </w:p>
        </w:tc>
        <w:tc>
          <w:tcPr>
            <w:tcW w:w="3402"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国有股权（股份）所占比例</w:t>
            </w:r>
          </w:p>
        </w:tc>
        <w:tc>
          <w:tcPr>
            <w:tcW w:w="1714"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842"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8</w:t>
            </w:r>
          </w:p>
        </w:tc>
        <w:tc>
          <w:tcPr>
            <w:tcW w:w="3402"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应付国有股股利、股息</w:t>
            </w:r>
          </w:p>
        </w:tc>
        <w:tc>
          <w:tcPr>
            <w:tcW w:w="1714"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842"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9</w:t>
            </w:r>
          </w:p>
        </w:tc>
        <w:tc>
          <w:tcPr>
            <w:tcW w:w="3402" w:type="dxa"/>
            <w:tcMar>
              <w:left w:w="0" w:type="dxa"/>
              <w:right w:w="0" w:type="dxa"/>
            </w:tcMar>
            <w:vAlign w:val="center"/>
          </w:tcPr>
          <w:p>
            <w:pPr>
              <w:widowControl/>
              <w:jc w:val="left"/>
              <w:rPr>
                <w:rFonts w:ascii="宋体" w:cs="宋体"/>
                <w:color w:val="000000"/>
                <w:w w:val="80"/>
                <w:kern w:val="0"/>
                <w:sz w:val="24"/>
                <w:szCs w:val="24"/>
              </w:rPr>
            </w:pPr>
            <w:r>
              <w:rPr>
                <w:rFonts w:hint="eastAsia" w:ascii="宋体" w:hAnsi="宋体" w:cs="宋体"/>
                <w:color w:val="000000"/>
                <w:w w:val="80"/>
                <w:kern w:val="0"/>
                <w:sz w:val="24"/>
                <w:szCs w:val="24"/>
              </w:rPr>
              <w:t>加：以前年度欠付的国有股股利、股息</w:t>
            </w:r>
          </w:p>
        </w:tc>
        <w:tc>
          <w:tcPr>
            <w:tcW w:w="1714"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842"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10</w:t>
            </w:r>
          </w:p>
        </w:tc>
        <w:tc>
          <w:tcPr>
            <w:tcW w:w="3402"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w w:val="80"/>
                <w:kern w:val="0"/>
                <w:sz w:val="24"/>
                <w:szCs w:val="24"/>
              </w:rPr>
              <w:t>减：本期已付的国有股股利、股息</w:t>
            </w:r>
          </w:p>
        </w:tc>
        <w:tc>
          <w:tcPr>
            <w:tcW w:w="1714"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842"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486" w:type="dxa"/>
            <w:tcMar>
              <w:left w:w="0" w:type="dxa"/>
              <w:right w:w="0" w:type="dxa"/>
            </w:tcMar>
            <w:vAlign w:val="center"/>
          </w:tcPr>
          <w:p>
            <w:pPr>
              <w:widowControl/>
              <w:jc w:val="center"/>
              <w:rPr>
                <w:rFonts w:ascii="宋体" w:cs="宋体"/>
                <w:color w:val="000000"/>
                <w:kern w:val="0"/>
                <w:sz w:val="24"/>
                <w:szCs w:val="24"/>
              </w:rPr>
            </w:pPr>
            <w:r>
              <w:rPr>
                <w:rFonts w:ascii="宋体" w:hAnsi="宋体" w:cs="宋体"/>
                <w:color w:val="000000"/>
                <w:kern w:val="0"/>
                <w:sz w:val="24"/>
                <w:szCs w:val="24"/>
              </w:rPr>
              <w:t>11</w:t>
            </w:r>
          </w:p>
        </w:tc>
        <w:tc>
          <w:tcPr>
            <w:tcW w:w="3402" w:type="dxa"/>
            <w:tcMar>
              <w:left w:w="0" w:type="dxa"/>
              <w:right w:w="0" w:type="dxa"/>
            </w:tcMar>
            <w:vAlign w:val="center"/>
          </w:tcPr>
          <w:p>
            <w:pPr>
              <w:widowControl/>
              <w:jc w:val="left"/>
              <w:rPr>
                <w:rFonts w:ascii="宋体" w:cs="宋体"/>
                <w:color w:val="000000"/>
                <w:kern w:val="0"/>
                <w:sz w:val="24"/>
                <w:szCs w:val="24"/>
              </w:rPr>
            </w:pPr>
            <w:r>
              <w:rPr>
                <w:rFonts w:hint="eastAsia" w:ascii="宋体" w:hAnsi="宋体" w:cs="宋体"/>
                <w:color w:val="000000"/>
                <w:kern w:val="0"/>
                <w:sz w:val="24"/>
                <w:szCs w:val="24"/>
              </w:rPr>
              <w:t>应交（退）国有股股利、股息</w:t>
            </w:r>
          </w:p>
        </w:tc>
        <w:tc>
          <w:tcPr>
            <w:tcW w:w="1714"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842"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c>
          <w:tcPr>
            <w:tcW w:w="1701"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45" w:type="dxa"/>
            <w:gridSpan w:val="5"/>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附送资料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45" w:type="dxa"/>
            <w:gridSpan w:val="5"/>
            <w:tcMar>
              <w:left w:w="0" w:type="dxa"/>
              <w:right w:w="0" w:type="dxa"/>
            </w:tcMar>
            <w:vAlign w:val="center"/>
          </w:tcPr>
          <w:p>
            <w:pPr>
              <w:widowControl/>
              <w:jc w:val="left"/>
              <w:rPr>
                <w:rFonts w:ascii="宋体"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股东会（股东大会）决议　　</w:t>
            </w:r>
            <w:r>
              <w:rPr>
                <w:rFonts w:ascii="宋体" w:hAnsi="宋体" w:cs="宋体"/>
                <w:color w:val="000000"/>
                <w:kern w:val="0"/>
                <w:sz w:val="24"/>
                <w:szCs w:val="24"/>
              </w:rPr>
              <w:t>2.</w:t>
            </w:r>
            <w:r>
              <w:rPr>
                <w:rFonts w:hint="eastAsia" w:ascii="宋体" w:hAnsi="宋体" w:cs="宋体"/>
                <w:color w:val="000000"/>
                <w:kern w:val="0"/>
                <w:sz w:val="24"/>
                <w:szCs w:val="24"/>
              </w:rPr>
              <w:t>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486" w:type="dxa"/>
            <w:tcMar>
              <w:left w:w="0" w:type="dxa"/>
              <w:right w:w="0" w:type="dxa"/>
            </w:tcMar>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声</w:t>
            </w:r>
          </w:p>
          <w:p>
            <w:pPr>
              <w:widowControl/>
              <w:jc w:val="center"/>
              <w:rPr>
                <w:rFonts w:ascii="宋体" w:cs="宋体"/>
                <w:color w:val="000000"/>
                <w:kern w:val="0"/>
                <w:sz w:val="24"/>
                <w:szCs w:val="24"/>
              </w:rPr>
            </w:pPr>
          </w:p>
          <w:p>
            <w:pPr>
              <w:widowControl/>
              <w:jc w:val="center"/>
              <w:rPr>
                <w:rFonts w:ascii="宋体" w:cs="宋体"/>
                <w:color w:val="000000"/>
                <w:kern w:val="0"/>
                <w:sz w:val="24"/>
                <w:szCs w:val="24"/>
              </w:rPr>
            </w:pPr>
            <w:r>
              <w:rPr>
                <w:rFonts w:hint="eastAsia" w:ascii="宋体" w:hAnsi="宋体" w:cs="宋体"/>
                <w:color w:val="000000"/>
                <w:kern w:val="0"/>
                <w:sz w:val="24"/>
                <w:szCs w:val="24"/>
              </w:rPr>
              <w:t>明</w:t>
            </w:r>
          </w:p>
        </w:tc>
        <w:tc>
          <w:tcPr>
            <w:tcW w:w="8659" w:type="dxa"/>
            <w:gridSpan w:val="4"/>
            <w:tcMar>
              <w:left w:w="0" w:type="dxa"/>
              <w:right w:w="0" w:type="dxa"/>
            </w:tcMar>
            <w:vAlign w:val="center"/>
          </w:tcPr>
          <w:p>
            <w:pPr>
              <w:widowControl/>
              <w:spacing w:line="340" w:lineRule="exact"/>
              <w:jc w:val="left"/>
              <w:rPr>
                <w:rFonts w:ascii="宋体" w:cs="宋体"/>
                <w:color w:val="000000"/>
                <w:kern w:val="0"/>
                <w:sz w:val="24"/>
                <w:szCs w:val="24"/>
              </w:rPr>
            </w:pPr>
            <w:r>
              <w:rPr>
                <w:rFonts w:hint="eastAsia" w:ascii="宋体" w:hAnsi="宋体" w:cs="宋体"/>
                <w:color w:val="000000"/>
                <w:kern w:val="0"/>
                <w:sz w:val="24"/>
                <w:szCs w:val="24"/>
              </w:rPr>
              <w:t>本公司按照《公司法》和公司章程的规定进行利润分配，申报资料真实、合法，国有股东公平分享股利、股息及其他合法权益。</w:t>
            </w:r>
            <w:r>
              <w:rPr>
                <w:rFonts w:ascii="宋体" w:cs="宋体"/>
                <w:color w:val="000000"/>
                <w:kern w:val="0"/>
                <w:sz w:val="24"/>
                <w:szCs w:val="24"/>
              </w:rPr>
              <w:br w:type="textWrapping"/>
            </w:r>
            <w:r>
              <w:rPr>
                <w:rFonts w:ascii="宋体" w:hAnsi="宋体" w:cs="宋体"/>
                <w:color w:val="000000"/>
                <w:kern w:val="0"/>
                <w:sz w:val="24"/>
                <w:szCs w:val="24"/>
              </w:rPr>
              <w:t xml:space="preserve">               </w:t>
            </w:r>
            <w:r>
              <w:rPr>
                <w:rFonts w:hint="eastAsia" w:ascii="宋体" w:hAnsi="宋体" w:cs="宋体"/>
                <w:color w:val="000000"/>
                <w:kern w:val="0"/>
                <w:sz w:val="24"/>
                <w:szCs w:val="24"/>
              </w:rPr>
              <w:t>法人代表（签章）：</w:t>
            </w:r>
            <w:r>
              <w:rPr>
                <w:rFonts w:ascii="宋体" w:hAnsi="宋体" w:cs="宋体"/>
                <w:color w:val="000000"/>
                <w:kern w:val="0"/>
                <w:sz w:val="24"/>
                <w:szCs w:val="24"/>
              </w:rPr>
              <w:t xml:space="preserve">            </w:t>
            </w:r>
            <w:r>
              <w:rPr>
                <w:rFonts w:hint="eastAsia" w:ascii="宋体" w:hAnsi="宋体" w:cs="宋体"/>
                <w:color w:val="000000"/>
                <w:kern w:val="0"/>
                <w:sz w:val="24"/>
                <w:szCs w:val="24"/>
              </w:rPr>
              <w:t xml:space="preserve">      （公章）</w:t>
            </w:r>
            <w:r>
              <w:rPr>
                <w:rFonts w:ascii="宋体" w:cs="宋体"/>
                <w:color w:val="000000"/>
                <w:kern w:val="0"/>
                <w:sz w:val="24"/>
                <w:szCs w:val="24"/>
              </w:rPr>
              <w:br w:type="textWrapping"/>
            </w:r>
            <w:r>
              <w:rPr>
                <w:rFonts w:ascii="宋体" w:hAnsi="宋体" w:cs="宋体"/>
                <w:color w:val="000000"/>
                <w:kern w:val="0"/>
                <w:sz w:val="24"/>
                <w:szCs w:val="24"/>
              </w:rPr>
              <w:t xml:space="preserve">                                          </w:t>
            </w:r>
            <w:r>
              <w:rPr>
                <w:rFonts w:hint="eastAsia" w:ascii="宋体" w:hAnsi="宋体" w:cs="宋体"/>
                <w:color w:val="000000"/>
                <w:kern w:val="0"/>
                <w:sz w:val="24"/>
                <w:szCs w:val="24"/>
              </w:rPr>
              <w:t xml:space="preserve">     　年　 月　</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日</w:t>
            </w:r>
          </w:p>
        </w:tc>
      </w:tr>
    </w:tbl>
    <w:p>
      <w:pPr>
        <w:pStyle w:val="6"/>
        <w:spacing w:line="340" w:lineRule="exact"/>
        <w:ind w:firstLine="980" w:firstLineChars="350"/>
        <w:rPr>
          <w:rFonts w:hint="eastAsia"/>
          <w:sz w:val="28"/>
          <w:szCs w:val="28"/>
        </w:rPr>
      </w:pPr>
      <w:r>
        <w:rPr>
          <w:rFonts w:hint="eastAsia"/>
          <w:sz w:val="28"/>
          <w:szCs w:val="28"/>
        </w:rPr>
        <w:t>总会计师：</w:t>
      </w:r>
      <w:r>
        <w:rPr>
          <w:sz w:val="28"/>
          <w:szCs w:val="28"/>
        </w:rPr>
        <w:t xml:space="preserve">                        </w:t>
      </w:r>
      <w:r>
        <w:rPr>
          <w:rFonts w:hint="eastAsia"/>
          <w:sz w:val="28"/>
          <w:szCs w:val="28"/>
        </w:rPr>
        <w:t>经办人：</w:t>
      </w:r>
      <w:r>
        <w:rPr>
          <w:sz w:val="28"/>
          <w:szCs w:val="28"/>
        </w:rPr>
        <w:br w:type="textWrapping"/>
      </w:r>
    </w:p>
    <w:p>
      <w:pPr>
        <w:pStyle w:val="6"/>
        <w:spacing w:line="340" w:lineRule="exact"/>
        <w:rPr>
          <w:rFonts w:hint="eastAsia" w:ascii="楷体" w:hAnsi="楷体" w:eastAsia="楷体"/>
          <w:sz w:val="28"/>
          <w:szCs w:val="28"/>
        </w:rPr>
      </w:pPr>
      <w:r>
        <w:rPr>
          <w:rFonts w:hint="eastAsia" w:ascii="楷体" w:hAnsi="楷体" w:eastAsia="楷体"/>
          <w:sz w:val="28"/>
          <w:szCs w:val="28"/>
        </w:rPr>
        <w:t>注：国有控股、参股企业</w:t>
      </w:r>
      <w:r>
        <w:rPr>
          <w:rFonts w:hint="eastAsia" w:ascii="楷体" w:hAnsi="楷体" w:eastAsia="楷体"/>
          <w:sz w:val="28"/>
          <w:szCs w:val="28"/>
          <w:lang w:val="en-US" w:eastAsia="zh-CN"/>
        </w:rPr>
        <w:t>依据XX年度利润分配情况</w:t>
      </w:r>
      <w:r>
        <w:rPr>
          <w:rFonts w:hint="eastAsia" w:ascii="楷体" w:hAnsi="楷体" w:eastAsia="楷体"/>
          <w:sz w:val="28"/>
          <w:szCs w:val="28"/>
        </w:rPr>
        <w:t>填报本表。</w:t>
      </w:r>
    </w:p>
    <w:p>
      <w:pPr>
        <w:pStyle w:val="6"/>
        <w:spacing w:line="340" w:lineRule="exact"/>
        <w:rPr>
          <w:rFonts w:hint="eastAsia" w:ascii="楷体" w:hAnsi="楷体" w:eastAsia="楷体"/>
          <w:sz w:val="28"/>
          <w:szCs w:val="28"/>
        </w:rPr>
      </w:pPr>
    </w:p>
    <w:p>
      <w:pPr>
        <w:pStyle w:val="6"/>
        <w:spacing w:line="520" w:lineRule="exact"/>
        <w:rPr>
          <w:rFonts w:hint="eastAsia" w:ascii="黑体" w:eastAsia="黑体"/>
          <w:sz w:val="32"/>
          <w:szCs w:val="32"/>
        </w:rPr>
      </w:pPr>
    </w:p>
    <w:p>
      <w:pPr>
        <w:pStyle w:val="6"/>
        <w:spacing w:line="520" w:lineRule="exact"/>
        <w:rPr>
          <w:rFonts w:hint="eastAsia" w:ascii="黑体" w:eastAsia="黑体"/>
          <w:sz w:val="30"/>
          <w:szCs w:val="30"/>
        </w:rPr>
      </w:pPr>
      <w:r>
        <w:rPr>
          <w:rFonts w:hint="eastAsia" w:ascii="黑体" w:eastAsia="黑体"/>
          <w:sz w:val="30"/>
          <w:szCs w:val="30"/>
        </w:rPr>
        <w:t>附件</w:t>
      </w:r>
      <w:r>
        <w:rPr>
          <w:rFonts w:hint="eastAsia" w:ascii="黑体" w:eastAsia="黑体"/>
          <w:sz w:val="30"/>
          <w:szCs w:val="30"/>
          <w:lang w:val="en-US" w:eastAsia="zh-CN"/>
        </w:rPr>
        <w:t>3</w:t>
      </w:r>
    </w:p>
    <w:p>
      <w:pPr>
        <w:pStyle w:val="6"/>
        <w:spacing w:line="520" w:lineRule="exact"/>
        <w:jc w:val="center"/>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val="en-US" w:eastAsia="zh-CN"/>
        </w:rPr>
        <w:t>区本级</w:t>
      </w:r>
      <w:r>
        <w:rPr>
          <w:rFonts w:hint="eastAsia" w:ascii="方正小标宋简体" w:hAnsi="方正小标宋简体" w:eastAsia="方正小标宋简体" w:cs="方正小标宋简体"/>
          <w:sz w:val="32"/>
          <w:szCs w:val="32"/>
          <w:lang w:eastAsia="zh-CN"/>
        </w:rPr>
        <w:t>直属企业国有资本收益（国有产权转让收入）申报表</w:t>
      </w:r>
    </w:p>
    <w:p>
      <w:pPr>
        <w:pStyle w:val="6"/>
        <w:spacing w:line="480" w:lineRule="exact"/>
        <w:jc w:val="center"/>
        <w:rPr>
          <w:rFonts w:hint="eastAsia" w:ascii="方正小标宋简体" w:hAnsi="华文中宋" w:eastAsia="方正小标宋简体"/>
          <w:sz w:val="21"/>
          <w:szCs w:val="21"/>
          <w:lang w:val="en-US" w:eastAsia="zh-CN"/>
        </w:rPr>
      </w:pPr>
      <w:r>
        <w:rPr>
          <w:rFonts w:hint="eastAsia" w:ascii="方正小标宋简体" w:hAnsi="华文中宋" w:eastAsia="方正小标宋简体"/>
          <w:sz w:val="21"/>
          <w:szCs w:val="21"/>
          <w:lang w:val="en-US" w:eastAsia="zh-CN"/>
        </w:rPr>
        <w:t>（   ）年度</w:t>
      </w:r>
    </w:p>
    <w:tbl>
      <w:tblPr>
        <w:tblStyle w:val="7"/>
        <w:tblpPr w:leftFromText="180" w:rightFromText="180" w:vertAnchor="text" w:horzAnchor="page" w:tblpX="1466" w:tblpY="60"/>
        <w:tblOverlap w:val="never"/>
        <w:tblW w:w="919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9"/>
        <w:gridCol w:w="2510"/>
        <w:gridCol w:w="2126"/>
        <w:gridCol w:w="2420"/>
        <w:gridCol w:w="18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exact"/>
        </w:trPr>
        <w:tc>
          <w:tcPr>
            <w:tcW w:w="9194" w:type="dxa"/>
            <w:gridSpan w:val="5"/>
            <w:tcMar>
              <w:left w:w="0" w:type="dxa"/>
              <w:right w:w="0" w:type="dxa"/>
            </w:tcMar>
            <w:vAlign w:val="center"/>
          </w:tcPr>
          <w:p>
            <w:pPr>
              <w:pStyle w:val="6"/>
              <w:spacing w:line="280" w:lineRule="exact"/>
              <w:jc w:val="center"/>
            </w:pPr>
            <w:r>
              <w:rPr>
                <w:rFonts w:hint="eastAsia"/>
              </w:rPr>
              <w:t>申报单位基本情况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exact"/>
        </w:trPr>
        <w:tc>
          <w:tcPr>
            <w:tcW w:w="2829" w:type="dxa"/>
            <w:gridSpan w:val="2"/>
            <w:tcMar>
              <w:left w:w="0" w:type="dxa"/>
              <w:right w:w="0" w:type="dxa"/>
            </w:tcMar>
            <w:vAlign w:val="center"/>
          </w:tcPr>
          <w:p>
            <w:pPr>
              <w:pStyle w:val="6"/>
              <w:spacing w:line="280" w:lineRule="exact"/>
              <w:jc w:val="center"/>
            </w:pPr>
            <w:r>
              <w:rPr>
                <w:rFonts w:hint="eastAsia"/>
              </w:rPr>
              <w:t>名称</w:t>
            </w:r>
          </w:p>
        </w:tc>
        <w:tc>
          <w:tcPr>
            <w:tcW w:w="6365" w:type="dxa"/>
            <w:gridSpan w:val="3"/>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exact"/>
        </w:trPr>
        <w:tc>
          <w:tcPr>
            <w:tcW w:w="2829" w:type="dxa"/>
            <w:gridSpan w:val="2"/>
            <w:tcMar>
              <w:left w:w="0" w:type="dxa"/>
              <w:right w:w="0" w:type="dxa"/>
            </w:tcMar>
            <w:vAlign w:val="center"/>
          </w:tcPr>
          <w:p>
            <w:pPr>
              <w:pStyle w:val="6"/>
              <w:spacing w:line="280" w:lineRule="exact"/>
              <w:jc w:val="center"/>
            </w:pPr>
            <w:r>
              <w:rPr>
                <w:rFonts w:hint="eastAsia"/>
              </w:rPr>
              <w:t>性质</w:t>
            </w:r>
          </w:p>
        </w:tc>
        <w:tc>
          <w:tcPr>
            <w:tcW w:w="6365" w:type="dxa"/>
            <w:gridSpan w:val="3"/>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exact"/>
        </w:trPr>
        <w:tc>
          <w:tcPr>
            <w:tcW w:w="2829" w:type="dxa"/>
            <w:gridSpan w:val="2"/>
            <w:tcMar>
              <w:left w:w="0" w:type="dxa"/>
              <w:right w:w="0" w:type="dxa"/>
            </w:tcMar>
            <w:vAlign w:val="center"/>
          </w:tcPr>
          <w:p>
            <w:pPr>
              <w:pStyle w:val="6"/>
              <w:spacing w:line="280" w:lineRule="exact"/>
              <w:jc w:val="center"/>
            </w:pPr>
            <w:r>
              <w:rPr>
                <w:rFonts w:hint="eastAsia"/>
              </w:rPr>
              <w:t>联系人</w:t>
            </w:r>
          </w:p>
        </w:tc>
        <w:tc>
          <w:tcPr>
            <w:tcW w:w="6365" w:type="dxa"/>
            <w:gridSpan w:val="3"/>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exact"/>
        </w:trPr>
        <w:tc>
          <w:tcPr>
            <w:tcW w:w="2829" w:type="dxa"/>
            <w:gridSpan w:val="2"/>
            <w:tcMar>
              <w:left w:w="0" w:type="dxa"/>
              <w:right w:w="0" w:type="dxa"/>
            </w:tcMar>
            <w:vAlign w:val="center"/>
          </w:tcPr>
          <w:p>
            <w:pPr>
              <w:pStyle w:val="6"/>
              <w:spacing w:line="280" w:lineRule="exact"/>
              <w:jc w:val="center"/>
            </w:pPr>
            <w:r>
              <w:rPr>
                <w:rFonts w:hint="eastAsia"/>
              </w:rPr>
              <w:t>联系电话</w:t>
            </w:r>
          </w:p>
        </w:tc>
        <w:tc>
          <w:tcPr>
            <w:tcW w:w="6365" w:type="dxa"/>
            <w:gridSpan w:val="3"/>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exact"/>
        </w:trPr>
        <w:tc>
          <w:tcPr>
            <w:tcW w:w="9194" w:type="dxa"/>
            <w:gridSpan w:val="5"/>
            <w:tcMar>
              <w:left w:w="0" w:type="dxa"/>
              <w:right w:w="0" w:type="dxa"/>
            </w:tcMar>
            <w:vAlign w:val="center"/>
          </w:tcPr>
          <w:p>
            <w:pPr>
              <w:pStyle w:val="6"/>
              <w:spacing w:line="280" w:lineRule="exact"/>
              <w:jc w:val="center"/>
            </w:pPr>
            <w:r>
              <w:rPr>
                <w:rFonts w:hint="eastAsia"/>
              </w:rPr>
              <w:t>企业国有产权及其交易情况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exact"/>
        </w:trPr>
        <w:tc>
          <w:tcPr>
            <w:tcW w:w="2829" w:type="dxa"/>
            <w:gridSpan w:val="2"/>
            <w:tcMar>
              <w:left w:w="0" w:type="dxa"/>
              <w:right w:w="0" w:type="dxa"/>
            </w:tcMar>
            <w:vAlign w:val="center"/>
          </w:tcPr>
          <w:p>
            <w:pPr>
              <w:pStyle w:val="6"/>
              <w:spacing w:line="280" w:lineRule="exact"/>
              <w:jc w:val="center"/>
            </w:pPr>
            <w:r>
              <w:rPr>
                <w:rFonts w:hint="eastAsia"/>
              </w:rPr>
              <w:t>企业名称</w:t>
            </w:r>
          </w:p>
        </w:tc>
        <w:tc>
          <w:tcPr>
            <w:tcW w:w="2126" w:type="dxa"/>
            <w:vAlign w:val="center"/>
          </w:tcPr>
          <w:p>
            <w:pPr>
              <w:pStyle w:val="6"/>
              <w:spacing w:line="280" w:lineRule="exact"/>
              <w:jc w:val="center"/>
            </w:pPr>
          </w:p>
        </w:tc>
        <w:tc>
          <w:tcPr>
            <w:tcW w:w="2420" w:type="dxa"/>
            <w:vAlign w:val="center"/>
          </w:tcPr>
          <w:p>
            <w:pPr>
              <w:pStyle w:val="6"/>
              <w:spacing w:line="240" w:lineRule="atLeast"/>
              <w:jc w:val="center"/>
              <w:rPr>
                <w:sz w:val="21"/>
                <w:szCs w:val="21"/>
              </w:rPr>
            </w:pPr>
            <w:r>
              <w:rPr>
                <w:rFonts w:hint="eastAsia"/>
                <w:sz w:val="21"/>
                <w:szCs w:val="21"/>
              </w:rPr>
              <w:t>组织形式</w:t>
            </w:r>
          </w:p>
          <w:p>
            <w:pPr>
              <w:pStyle w:val="6"/>
              <w:spacing w:line="240" w:lineRule="atLeast"/>
              <w:jc w:val="center"/>
              <w:rPr>
                <w:spacing w:val="-10"/>
                <w:w w:val="65"/>
              </w:rPr>
            </w:pPr>
            <w:r>
              <w:rPr>
                <w:rFonts w:hint="eastAsia"/>
                <w:spacing w:val="-10"/>
                <w:w w:val="65"/>
                <w:sz w:val="21"/>
                <w:szCs w:val="21"/>
              </w:rPr>
              <w:t>（国有独资企业或国有控股参股企）</w:t>
            </w:r>
            <w:r>
              <w:rPr>
                <w:rFonts w:hint="eastAsia"/>
                <w:spacing w:val="-10"/>
                <w:w w:val="65"/>
              </w:rPr>
              <w:t>业）</w:t>
            </w:r>
          </w:p>
          <w:p>
            <w:pPr>
              <w:pStyle w:val="6"/>
              <w:spacing w:line="280" w:lineRule="exact"/>
              <w:jc w:val="center"/>
              <w:rPr>
                <w:spacing w:val="-10"/>
                <w:w w:val="65"/>
              </w:rPr>
            </w:pPr>
          </w:p>
          <w:p>
            <w:pPr>
              <w:pStyle w:val="6"/>
              <w:spacing w:line="280" w:lineRule="exact"/>
              <w:jc w:val="center"/>
            </w:pP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2829" w:type="dxa"/>
            <w:gridSpan w:val="2"/>
            <w:tcMar>
              <w:left w:w="0" w:type="dxa"/>
              <w:right w:w="0" w:type="dxa"/>
            </w:tcMar>
            <w:vAlign w:val="center"/>
          </w:tcPr>
          <w:p>
            <w:pPr>
              <w:pStyle w:val="6"/>
              <w:spacing w:line="280" w:lineRule="exact"/>
              <w:jc w:val="center"/>
            </w:pPr>
            <w:r>
              <w:rPr>
                <w:rFonts w:hint="eastAsia"/>
              </w:rPr>
              <w:t>注册地址</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r>
              <w:rPr>
                <w:rFonts w:hint="eastAsia"/>
              </w:rPr>
              <w:t>所处行业</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2829" w:type="dxa"/>
            <w:gridSpan w:val="2"/>
            <w:tcMar>
              <w:left w:w="0" w:type="dxa"/>
              <w:right w:w="0" w:type="dxa"/>
            </w:tcMar>
            <w:vAlign w:val="center"/>
          </w:tcPr>
          <w:p>
            <w:pPr>
              <w:pStyle w:val="6"/>
              <w:spacing w:line="280" w:lineRule="exact"/>
              <w:jc w:val="center"/>
            </w:pPr>
            <w:r>
              <w:rPr>
                <w:rFonts w:hint="eastAsia"/>
              </w:rPr>
              <w:t>注册资本</w:t>
            </w:r>
          </w:p>
        </w:tc>
        <w:tc>
          <w:tcPr>
            <w:tcW w:w="2126" w:type="dxa"/>
            <w:vAlign w:val="center"/>
          </w:tcPr>
          <w:p>
            <w:pPr>
              <w:pStyle w:val="6"/>
              <w:spacing w:line="280" w:lineRule="exact"/>
              <w:jc w:val="center"/>
            </w:pPr>
          </w:p>
        </w:tc>
        <w:tc>
          <w:tcPr>
            <w:tcW w:w="2420" w:type="dxa"/>
            <w:vAlign w:val="center"/>
          </w:tcPr>
          <w:p>
            <w:pPr>
              <w:pStyle w:val="6"/>
              <w:spacing w:line="280" w:lineRule="exact"/>
              <w:jc w:val="center"/>
              <w:rPr>
                <w:sz w:val="21"/>
                <w:szCs w:val="21"/>
              </w:rPr>
            </w:pPr>
            <w:r>
              <w:rPr>
                <w:rFonts w:hint="eastAsia"/>
                <w:sz w:val="21"/>
                <w:szCs w:val="21"/>
              </w:rPr>
              <w:t>其中：国有股权（股份）</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2829" w:type="dxa"/>
            <w:gridSpan w:val="2"/>
            <w:tcMar>
              <w:left w:w="0" w:type="dxa"/>
              <w:right w:w="0" w:type="dxa"/>
            </w:tcMar>
            <w:vAlign w:val="center"/>
          </w:tcPr>
          <w:p>
            <w:pPr>
              <w:pStyle w:val="6"/>
              <w:spacing w:line="280" w:lineRule="exact"/>
              <w:jc w:val="center"/>
            </w:pPr>
            <w:r>
              <w:rPr>
                <w:rFonts w:hint="eastAsia"/>
              </w:rPr>
              <w:t>账面资产总额</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r>
              <w:rPr>
                <w:rFonts w:hint="eastAsia"/>
              </w:rPr>
              <w:t>其中：固定资产</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2829" w:type="dxa"/>
            <w:gridSpan w:val="2"/>
            <w:tcMar>
              <w:left w:w="0" w:type="dxa"/>
              <w:right w:w="0" w:type="dxa"/>
            </w:tcMar>
            <w:vAlign w:val="center"/>
          </w:tcPr>
          <w:p>
            <w:pPr>
              <w:pStyle w:val="6"/>
              <w:spacing w:line="280" w:lineRule="exact"/>
              <w:jc w:val="center"/>
            </w:pPr>
            <w:r>
              <w:rPr>
                <w:rFonts w:hint="eastAsia"/>
              </w:rPr>
              <w:t>国有净资产</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r>
              <w:rPr>
                <w:rFonts w:hint="eastAsia"/>
              </w:rPr>
              <w:t>资产评估值</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2829" w:type="dxa"/>
            <w:gridSpan w:val="2"/>
            <w:tcMar>
              <w:left w:w="0" w:type="dxa"/>
              <w:right w:w="0" w:type="dxa"/>
            </w:tcMar>
            <w:vAlign w:val="center"/>
          </w:tcPr>
          <w:p>
            <w:pPr>
              <w:pStyle w:val="6"/>
              <w:spacing w:line="280" w:lineRule="exact"/>
              <w:jc w:val="center"/>
            </w:pPr>
            <w:r>
              <w:rPr>
                <w:rFonts w:hint="eastAsia"/>
              </w:rPr>
              <w:t>法人代表</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r>
              <w:rPr>
                <w:rFonts w:hint="eastAsia"/>
              </w:rPr>
              <w:t>联系电话</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2829" w:type="dxa"/>
            <w:gridSpan w:val="2"/>
            <w:tcMar>
              <w:left w:w="0" w:type="dxa"/>
              <w:right w:w="0" w:type="dxa"/>
            </w:tcMar>
            <w:vAlign w:val="center"/>
          </w:tcPr>
          <w:p>
            <w:pPr>
              <w:pStyle w:val="6"/>
              <w:spacing w:line="280" w:lineRule="exact"/>
              <w:jc w:val="center"/>
            </w:pPr>
            <w:r>
              <w:rPr>
                <w:rFonts w:hint="eastAsia"/>
              </w:rPr>
              <w:t>交易机构名称</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r>
              <w:rPr>
                <w:rFonts w:hint="eastAsia"/>
              </w:rPr>
              <w:t>交易机构地址</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2829" w:type="dxa"/>
            <w:gridSpan w:val="2"/>
            <w:tcMar>
              <w:left w:w="0" w:type="dxa"/>
              <w:right w:w="0" w:type="dxa"/>
            </w:tcMar>
            <w:vAlign w:val="center"/>
          </w:tcPr>
          <w:p>
            <w:pPr>
              <w:pStyle w:val="6"/>
              <w:spacing w:line="280" w:lineRule="exact"/>
              <w:jc w:val="center"/>
            </w:pPr>
            <w:r>
              <w:rPr>
                <w:rFonts w:hint="eastAsia"/>
              </w:rPr>
              <w:t>结算银行</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r>
              <w:rPr>
                <w:rFonts w:hint="eastAsia"/>
              </w:rPr>
              <w:t>结算账户</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2829" w:type="dxa"/>
            <w:gridSpan w:val="2"/>
            <w:tcMar>
              <w:left w:w="0" w:type="dxa"/>
              <w:right w:w="0" w:type="dxa"/>
            </w:tcMar>
            <w:vAlign w:val="center"/>
          </w:tcPr>
          <w:p>
            <w:pPr>
              <w:pStyle w:val="6"/>
              <w:spacing w:line="280" w:lineRule="exact"/>
              <w:jc w:val="center"/>
            </w:pPr>
            <w:r>
              <w:rPr>
                <w:rFonts w:hint="eastAsia"/>
              </w:rPr>
              <w:t>财务经理</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r>
              <w:rPr>
                <w:rFonts w:hint="eastAsia"/>
              </w:rPr>
              <w:t>联系电话</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2829" w:type="dxa"/>
            <w:gridSpan w:val="2"/>
            <w:tcMar>
              <w:left w:w="0" w:type="dxa"/>
              <w:right w:w="0" w:type="dxa"/>
            </w:tcMar>
            <w:vAlign w:val="center"/>
          </w:tcPr>
          <w:p>
            <w:pPr>
              <w:pStyle w:val="6"/>
              <w:spacing w:line="280" w:lineRule="exact"/>
              <w:jc w:val="center"/>
            </w:pPr>
            <w:r>
              <w:rPr>
                <w:rFonts w:hint="eastAsia"/>
              </w:rPr>
              <w:t>转让标的</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r>
              <w:rPr>
                <w:rFonts w:hint="eastAsia"/>
              </w:rPr>
              <w:t>占国有净资产比重</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2829" w:type="dxa"/>
            <w:gridSpan w:val="2"/>
            <w:tcMar>
              <w:left w:w="0" w:type="dxa"/>
              <w:right w:w="0" w:type="dxa"/>
            </w:tcMar>
            <w:vAlign w:val="center"/>
          </w:tcPr>
          <w:p>
            <w:pPr>
              <w:pStyle w:val="6"/>
              <w:spacing w:line="280" w:lineRule="exact"/>
              <w:jc w:val="center"/>
            </w:pPr>
            <w:r>
              <w:rPr>
                <w:rFonts w:hint="eastAsia"/>
              </w:rPr>
              <w:t>转让底价</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r>
              <w:rPr>
                <w:rFonts w:hint="eastAsia"/>
              </w:rPr>
              <w:t>实际成交价</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2829" w:type="dxa"/>
            <w:gridSpan w:val="2"/>
            <w:tcMar>
              <w:left w:w="0" w:type="dxa"/>
              <w:right w:w="0" w:type="dxa"/>
            </w:tcMar>
            <w:vAlign w:val="center"/>
          </w:tcPr>
          <w:p>
            <w:pPr>
              <w:pStyle w:val="6"/>
              <w:spacing w:line="280" w:lineRule="exact"/>
              <w:jc w:val="center"/>
            </w:pPr>
            <w:r>
              <w:rPr>
                <w:rFonts w:hint="eastAsia"/>
              </w:rPr>
              <w:t>合同签订日</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r>
              <w:rPr>
                <w:rFonts w:hint="eastAsia"/>
              </w:rPr>
              <w:t>交易结算日</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2829" w:type="dxa"/>
            <w:gridSpan w:val="2"/>
            <w:tcMar>
              <w:left w:w="0" w:type="dxa"/>
              <w:right w:w="0" w:type="dxa"/>
            </w:tcMar>
            <w:vAlign w:val="center"/>
          </w:tcPr>
          <w:p>
            <w:pPr>
              <w:pStyle w:val="6"/>
              <w:spacing w:line="280" w:lineRule="exact"/>
              <w:jc w:val="center"/>
            </w:pPr>
            <w:r>
              <w:rPr>
                <w:rFonts w:hint="eastAsia"/>
              </w:rPr>
              <w:t>价款结算方式</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r>
              <w:rPr>
                <w:rFonts w:hint="eastAsia"/>
              </w:rPr>
              <w:t>价款结算时间</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9194" w:type="dxa"/>
            <w:gridSpan w:val="5"/>
            <w:tcMar>
              <w:left w:w="0" w:type="dxa"/>
              <w:right w:w="0" w:type="dxa"/>
            </w:tcMar>
            <w:vAlign w:val="center"/>
          </w:tcPr>
          <w:p>
            <w:pPr>
              <w:pStyle w:val="6"/>
              <w:spacing w:line="280" w:lineRule="exact"/>
              <w:jc w:val="center"/>
            </w:pPr>
            <w:r>
              <w:rPr>
                <w:rFonts w:hint="eastAsia"/>
              </w:rPr>
              <w:t>受让方有关情况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 w:hRule="exact"/>
        </w:trPr>
        <w:tc>
          <w:tcPr>
            <w:tcW w:w="2829" w:type="dxa"/>
            <w:gridSpan w:val="2"/>
            <w:tcMar>
              <w:left w:w="0" w:type="dxa"/>
              <w:right w:w="0" w:type="dxa"/>
            </w:tcMar>
            <w:vAlign w:val="center"/>
          </w:tcPr>
          <w:p>
            <w:pPr>
              <w:pStyle w:val="6"/>
              <w:spacing w:line="280" w:lineRule="exact"/>
              <w:jc w:val="center"/>
            </w:pPr>
            <w:r>
              <w:rPr>
                <w:rFonts w:hint="eastAsia"/>
              </w:rPr>
              <w:t>名称</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r>
              <w:rPr>
                <w:rFonts w:hint="eastAsia"/>
              </w:rPr>
              <w:t>性质</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2829" w:type="dxa"/>
            <w:gridSpan w:val="2"/>
            <w:tcMar>
              <w:left w:w="0" w:type="dxa"/>
              <w:right w:w="0" w:type="dxa"/>
            </w:tcMar>
            <w:vAlign w:val="center"/>
          </w:tcPr>
          <w:p>
            <w:pPr>
              <w:pStyle w:val="6"/>
              <w:spacing w:line="280" w:lineRule="exact"/>
              <w:jc w:val="center"/>
            </w:pPr>
            <w:r>
              <w:rPr>
                <w:rFonts w:hint="eastAsia"/>
              </w:rPr>
              <w:t>注册地（或住所）</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r>
              <w:rPr>
                <w:rFonts w:hint="eastAsia"/>
              </w:rPr>
              <w:t>资产总额</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2829" w:type="dxa"/>
            <w:gridSpan w:val="2"/>
            <w:tcMar>
              <w:left w:w="0" w:type="dxa"/>
              <w:right w:w="0" w:type="dxa"/>
            </w:tcMar>
            <w:vAlign w:val="center"/>
          </w:tcPr>
          <w:p>
            <w:pPr>
              <w:pStyle w:val="6"/>
              <w:spacing w:line="280" w:lineRule="exact"/>
              <w:jc w:val="center"/>
            </w:pPr>
            <w:r>
              <w:rPr>
                <w:rFonts w:hint="eastAsia"/>
              </w:rPr>
              <w:t>法定代表人</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r>
              <w:rPr>
                <w:rFonts w:hint="eastAsia"/>
              </w:rPr>
              <w:t>联系电话</w:t>
            </w: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9194" w:type="dxa"/>
            <w:gridSpan w:val="5"/>
            <w:tcMar>
              <w:left w:w="0" w:type="dxa"/>
              <w:right w:w="0" w:type="dxa"/>
            </w:tcMar>
            <w:vAlign w:val="center"/>
          </w:tcPr>
          <w:p>
            <w:pPr>
              <w:pStyle w:val="6"/>
              <w:spacing w:line="280" w:lineRule="exact"/>
              <w:jc w:val="center"/>
            </w:pPr>
            <w:r>
              <w:rPr>
                <w:rFonts w:hint="eastAsia"/>
              </w:rPr>
              <w:t>应交国有资本收益申报情况</w:t>
            </w:r>
            <w:r>
              <w:rPr>
                <w:rFonts w:hint="eastAsia"/>
                <w:color w:val="000000"/>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319" w:type="dxa"/>
            <w:tcMar>
              <w:left w:w="0" w:type="dxa"/>
              <w:right w:w="0" w:type="dxa"/>
            </w:tcMar>
            <w:vAlign w:val="center"/>
          </w:tcPr>
          <w:p>
            <w:pPr>
              <w:pStyle w:val="6"/>
              <w:spacing w:line="280" w:lineRule="exact"/>
              <w:jc w:val="center"/>
            </w:pPr>
          </w:p>
        </w:tc>
        <w:tc>
          <w:tcPr>
            <w:tcW w:w="2510" w:type="dxa"/>
            <w:vAlign w:val="center"/>
          </w:tcPr>
          <w:p>
            <w:pPr>
              <w:pStyle w:val="6"/>
              <w:spacing w:line="280" w:lineRule="exact"/>
              <w:jc w:val="center"/>
            </w:pPr>
            <w:r>
              <w:rPr>
                <w:rFonts w:hint="eastAsia"/>
              </w:rPr>
              <w:t>项</w:t>
            </w:r>
            <w:r>
              <w:t xml:space="preserve">    </w:t>
            </w:r>
            <w:r>
              <w:rPr>
                <w:rFonts w:hint="eastAsia"/>
              </w:rPr>
              <w:t>目</w:t>
            </w:r>
          </w:p>
        </w:tc>
        <w:tc>
          <w:tcPr>
            <w:tcW w:w="2126" w:type="dxa"/>
            <w:vAlign w:val="center"/>
          </w:tcPr>
          <w:p>
            <w:pPr>
              <w:widowControl/>
              <w:jc w:val="center"/>
            </w:pPr>
            <w:r>
              <w:rPr>
                <w:rFonts w:hint="eastAsia" w:ascii="宋体" w:hAnsi="宋体" w:cs="宋体"/>
                <w:color w:val="000000"/>
                <w:kern w:val="0"/>
                <w:sz w:val="24"/>
                <w:szCs w:val="24"/>
              </w:rPr>
              <w:t>申报数</w:t>
            </w:r>
          </w:p>
        </w:tc>
        <w:tc>
          <w:tcPr>
            <w:tcW w:w="2420" w:type="dxa"/>
            <w:vAlign w:val="center"/>
          </w:tcPr>
          <w:p>
            <w:pPr>
              <w:widowControl/>
              <w:jc w:val="center"/>
            </w:pPr>
            <w:r>
              <w:rPr>
                <w:rFonts w:hint="eastAsia" w:ascii="宋体" w:hAnsi="宋体" w:cs="宋体"/>
                <w:color w:val="000000"/>
                <w:kern w:val="0"/>
                <w:sz w:val="22"/>
                <w:szCs w:val="24"/>
              </w:rPr>
              <w:t>监管部门审核数</w:t>
            </w:r>
          </w:p>
        </w:tc>
        <w:tc>
          <w:tcPr>
            <w:tcW w:w="1819" w:type="dxa"/>
            <w:vAlign w:val="center"/>
          </w:tcPr>
          <w:p>
            <w:pPr>
              <w:widowControl/>
              <w:jc w:val="center"/>
            </w:pPr>
            <w:r>
              <w:rPr>
                <w:rFonts w:hint="eastAsia" w:ascii="宋体" w:hAnsi="宋体" w:cs="宋体"/>
                <w:color w:val="000000"/>
                <w:kern w:val="0"/>
                <w:sz w:val="22"/>
                <w:szCs w:val="24"/>
              </w:rPr>
              <w:t>财政</w:t>
            </w:r>
            <w:r>
              <w:rPr>
                <w:rFonts w:hint="eastAsia" w:ascii="宋体" w:hAnsi="宋体" w:cs="宋体"/>
                <w:color w:val="000000"/>
                <w:kern w:val="0"/>
                <w:sz w:val="22"/>
                <w:szCs w:val="24"/>
                <w:lang w:val="en-US" w:eastAsia="zh-CN"/>
              </w:rPr>
              <w:t>部门</w:t>
            </w:r>
            <w:r>
              <w:rPr>
                <w:rFonts w:hint="eastAsia" w:ascii="宋体" w:hAnsi="宋体" w:cs="宋体"/>
                <w:color w:val="000000"/>
                <w:kern w:val="0"/>
                <w:sz w:val="22"/>
                <w:szCs w:val="24"/>
              </w:rPr>
              <w:t>复核数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319" w:type="dxa"/>
            <w:tcMar>
              <w:left w:w="0" w:type="dxa"/>
              <w:right w:w="0" w:type="dxa"/>
            </w:tcMar>
            <w:vAlign w:val="center"/>
          </w:tcPr>
          <w:p>
            <w:pPr>
              <w:pStyle w:val="6"/>
              <w:spacing w:line="280" w:lineRule="exact"/>
              <w:jc w:val="center"/>
            </w:pPr>
            <w:r>
              <w:t>1</w:t>
            </w:r>
          </w:p>
        </w:tc>
        <w:tc>
          <w:tcPr>
            <w:tcW w:w="2510" w:type="dxa"/>
            <w:vAlign w:val="center"/>
          </w:tcPr>
          <w:p>
            <w:pPr>
              <w:pStyle w:val="6"/>
              <w:spacing w:line="280" w:lineRule="exact"/>
            </w:pPr>
            <w:r>
              <w:rPr>
                <w:rFonts w:hint="eastAsia"/>
              </w:rPr>
              <w:t>实际转让收入</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exact"/>
        </w:trPr>
        <w:tc>
          <w:tcPr>
            <w:tcW w:w="319" w:type="dxa"/>
            <w:tcMar>
              <w:left w:w="0" w:type="dxa"/>
              <w:right w:w="0" w:type="dxa"/>
            </w:tcMar>
            <w:vAlign w:val="center"/>
          </w:tcPr>
          <w:p>
            <w:pPr>
              <w:pStyle w:val="6"/>
              <w:spacing w:line="280" w:lineRule="exact"/>
              <w:jc w:val="center"/>
            </w:pPr>
            <w:r>
              <w:t>2</w:t>
            </w:r>
          </w:p>
        </w:tc>
        <w:tc>
          <w:tcPr>
            <w:tcW w:w="2510" w:type="dxa"/>
            <w:vAlign w:val="center"/>
          </w:tcPr>
          <w:p>
            <w:pPr>
              <w:pStyle w:val="6"/>
              <w:spacing w:line="280" w:lineRule="exact"/>
            </w:pPr>
            <w:r>
              <w:rPr>
                <w:rFonts w:hint="eastAsia"/>
              </w:rPr>
              <w:t>减：转让费用</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exact"/>
        </w:trPr>
        <w:tc>
          <w:tcPr>
            <w:tcW w:w="319" w:type="dxa"/>
            <w:tcMar>
              <w:left w:w="0" w:type="dxa"/>
              <w:right w:w="0" w:type="dxa"/>
            </w:tcMar>
            <w:vAlign w:val="center"/>
          </w:tcPr>
          <w:p>
            <w:pPr>
              <w:pStyle w:val="6"/>
              <w:spacing w:line="280" w:lineRule="exact"/>
              <w:jc w:val="center"/>
            </w:pPr>
            <w:r>
              <w:t>3</w:t>
            </w:r>
          </w:p>
        </w:tc>
        <w:tc>
          <w:tcPr>
            <w:tcW w:w="2510" w:type="dxa"/>
            <w:vAlign w:val="center"/>
          </w:tcPr>
          <w:p>
            <w:pPr>
              <w:pStyle w:val="6"/>
              <w:spacing w:line="280" w:lineRule="exact"/>
            </w:pPr>
            <w:r>
              <w:rPr>
                <w:rFonts w:hint="eastAsia"/>
              </w:rPr>
              <w:t>转让净收入</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319" w:type="dxa"/>
            <w:tcMar>
              <w:left w:w="0" w:type="dxa"/>
              <w:right w:w="0" w:type="dxa"/>
            </w:tcMar>
            <w:vAlign w:val="center"/>
          </w:tcPr>
          <w:p>
            <w:pPr>
              <w:pStyle w:val="6"/>
              <w:spacing w:line="280" w:lineRule="exact"/>
              <w:jc w:val="center"/>
            </w:pPr>
            <w:r>
              <w:t>4</w:t>
            </w:r>
          </w:p>
        </w:tc>
        <w:tc>
          <w:tcPr>
            <w:tcW w:w="2510" w:type="dxa"/>
            <w:vAlign w:val="center"/>
          </w:tcPr>
          <w:p>
            <w:pPr>
              <w:pStyle w:val="6"/>
              <w:spacing w:line="280" w:lineRule="exact"/>
              <w:rPr>
                <w:w w:val="95"/>
                <w:sz w:val="21"/>
              </w:rPr>
            </w:pPr>
            <w:r>
              <w:rPr>
                <w:rFonts w:hint="eastAsia"/>
                <w:w w:val="95"/>
                <w:sz w:val="21"/>
              </w:rPr>
              <w:t>国有股权（股份）所占比例</w:t>
            </w:r>
          </w:p>
        </w:tc>
        <w:tc>
          <w:tcPr>
            <w:tcW w:w="2126" w:type="dxa"/>
            <w:vAlign w:val="center"/>
          </w:tcPr>
          <w:p>
            <w:pPr>
              <w:pStyle w:val="6"/>
              <w:spacing w:line="280" w:lineRule="exact"/>
              <w:jc w:val="center"/>
              <w:rPr>
                <w:sz w:val="21"/>
              </w:rPr>
            </w:pPr>
          </w:p>
        </w:tc>
        <w:tc>
          <w:tcPr>
            <w:tcW w:w="2420" w:type="dxa"/>
            <w:vAlign w:val="center"/>
          </w:tcPr>
          <w:p>
            <w:pPr>
              <w:pStyle w:val="6"/>
              <w:spacing w:line="280" w:lineRule="exact"/>
              <w:jc w:val="center"/>
            </w:pP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 w:hRule="exact"/>
        </w:trPr>
        <w:tc>
          <w:tcPr>
            <w:tcW w:w="319" w:type="dxa"/>
            <w:tcMar>
              <w:left w:w="0" w:type="dxa"/>
              <w:right w:w="0" w:type="dxa"/>
            </w:tcMar>
            <w:vAlign w:val="center"/>
          </w:tcPr>
          <w:p>
            <w:pPr>
              <w:pStyle w:val="6"/>
              <w:spacing w:line="280" w:lineRule="exact"/>
              <w:jc w:val="center"/>
            </w:pPr>
            <w:r>
              <w:t>5</w:t>
            </w:r>
          </w:p>
        </w:tc>
        <w:tc>
          <w:tcPr>
            <w:tcW w:w="2510" w:type="dxa"/>
            <w:vAlign w:val="center"/>
          </w:tcPr>
          <w:p>
            <w:pPr>
              <w:pStyle w:val="6"/>
              <w:spacing w:line="280" w:lineRule="exact"/>
            </w:pPr>
            <w:r>
              <w:rPr>
                <w:rFonts w:hint="eastAsia"/>
              </w:rPr>
              <w:t>应交产权转让收入</w:t>
            </w:r>
          </w:p>
        </w:tc>
        <w:tc>
          <w:tcPr>
            <w:tcW w:w="2126" w:type="dxa"/>
            <w:vAlign w:val="center"/>
          </w:tcPr>
          <w:p>
            <w:pPr>
              <w:pStyle w:val="6"/>
              <w:spacing w:line="280" w:lineRule="exact"/>
              <w:jc w:val="center"/>
            </w:pPr>
          </w:p>
        </w:tc>
        <w:tc>
          <w:tcPr>
            <w:tcW w:w="2420" w:type="dxa"/>
            <w:vAlign w:val="center"/>
          </w:tcPr>
          <w:p>
            <w:pPr>
              <w:pStyle w:val="6"/>
              <w:spacing w:line="280" w:lineRule="exact"/>
              <w:jc w:val="center"/>
            </w:pPr>
          </w:p>
        </w:tc>
        <w:tc>
          <w:tcPr>
            <w:tcW w:w="1819"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exact"/>
        </w:trPr>
        <w:tc>
          <w:tcPr>
            <w:tcW w:w="9194" w:type="dxa"/>
            <w:gridSpan w:val="5"/>
            <w:tcMar>
              <w:left w:w="0" w:type="dxa"/>
              <w:right w:w="0" w:type="dxa"/>
            </w:tcMar>
            <w:vAlign w:val="center"/>
          </w:tcPr>
          <w:p>
            <w:pPr>
              <w:pStyle w:val="6"/>
              <w:spacing w:line="280" w:lineRule="exact"/>
              <w:jc w:val="center"/>
            </w:pPr>
            <w:r>
              <w:rPr>
                <w:rFonts w:hint="eastAsia"/>
              </w:rPr>
              <w:t>附送资料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5" w:hRule="exact"/>
        </w:trPr>
        <w:tc>
          <w:tcPr>
            <w:tcW w:w="9194" w:type="dxa"/>
            <w:gridSpan w:val="5"/>
            <w:tcMar>
              <w:left w:w="0" w:type="dxa"/>
              <w:right w:w="0" w:type="dxa"/>
            </w:tcMar>
            <w:vAlign w:val="center"/>
          </w:tcPr>
          <w:p>
            <w:pPr>
              <w:pStyle w:val="6"/>
              <w:spacing w:line="280" w:lineRule="exact"/>
              <w:jc w:val="both"/>
              <w:rPr>
                <w:sz w:val="21"/>
                <w:szCs w:val="21"/>
              </w:rPr>
            </w:pPr>
            <w:r>
              <w:rPr>
                <w:sz w:val="21"/>
                <w:szCs w:val="21"/>
              </w:rPr>
              <w:t>1.</w:t>
            </w:r>
            <w:r>
              <w:rPr>
                <w:rFonts w:hint="eastAsia"/>
                <w:sz w:val="21"/>
                <w:szCs w:val="21"/>
                <w:lang w:val="en-US" w:eastAsia="zh-CN"/>
              </w:rPr>
              <w:t>区</w:t>
            </w:r>
            <w:r>
              <w:rPr>
                <w:rFonts w:hint="eastAsia"/>
                <w:sz w:val="21"/>
                <w:szCs w:val="21"/>
              </w:rPr>
              <w:t>人民政府批准文件或国有资产监管机构审批文件；</w:t>
            </w:r>
            <w:r>
              <w:rPr>
                <w:sz w:val="21"/>
                <w:szCs w:val="21"/>
              </w:rPr>
              <w:t>2.</w:t>
            </w:r>
            <w:r>
              <w:rPr>
                <w:rFonts w:hint="eastAsia"/>
                <w:sz w:val="21"/>
                <w:szCs w:val="21"/>
              </w:rPr>
              <w:t>资产评估报告；</w:t>
            </w:r>
          </w:p>
          <w:p>
            <w:pPr>
              <w:pStyle w:val="6"/>
              <w:spacing w:line="280" w:lineRule="exact"/>
              <w:jc w:val="both"/>
              <w:rPr>
                <w:sz w:val="21"/>
                <w:szCs w:val="21"/>
              </w:rPr>
            </w:pPr>
            <w:r>
              <w:rPr>
                <w:sz w:val="21"/>
                <w:szCs w:val="21"/>
              </w:rPr>
              <w:t>3.</w:t>
            </w:r>
            <w:r>
              <w:rPr>
                <w:rFonts w:hint="eastAsia"/>
                <w:sz w:val="21"/>
                <w:szCs w:val="21"/>
              </w:rPr>
              <w:t>交易结算单据复印件；</w:t>
            </w:r>
            <w:r>
              <w:rPr>
                <w:sz w:val="21"/>
                <w:szCs w:val="21"/>
              </w:rPr>
              <w:t xml:space="preserve">   4.</w:t>
            </w:r>
            <w:r>
              <w:rPr>
                <w:rFonts w:hint="eastAsia"/>
                <w:sz w:val="21"/>
                <w:szCs w:val="21"/>
              </w:rPr>
              <w:t>转让费用清单及发票；</w:t>
            </w:r>
          </w:p>
          <w:p>
            <w:pPr>
              <w:pStyle w:val="6"/>
              <w:spacing w:line="280" w:lineRule="exact"/>
              <w:jc w:val="both"/>
            </w:pPr>
            <w:r>
              <w:rPr>
                <w:sz w:val="21"/>
                <w:szCs w:val="21"/>
              </w:rPr>
              <w:t>5.</w:t>
            </w:r>
            <w:r>
              <w:rPr>
                <w:rFonts w:hint="eastAsia"/>
                <w:sz w:val="21"/>
                <w:szCs w:val="21"/>
              </w:rPr>
              <w:t>产权转让合同；</w:t>
            </w:r>
            <w:r>
              <w:rPr>
                <w:sz w:val="21"/>
                <w:szCs w:val="21"/>
              </w:rPr>
              <w:t xml:space="preserve">         6.</w:t>
            </w:r>
            <w:r>
              <w:rPr>
                <w:rFonts w:hint="eastAsia"/>
                <w:sz w:val="21"/>
                <w:szCs w:val="21"/>
              </w:rPr>
              <w:t>其他资料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6" w:hRule="exact"/>
        </w:trPr>
        <w:tc>
          <w:tcPr>
            <w:tcW w:w="319" w:type="dxa"/>
            <w:tcMar>
              <w:left w:w="0" w:type="dxa"/>
              <w:right w:w="0" w:type="dxa"/>
            </w:tcMar>
            <w:vAlign w:val="center"/>
          </w:tcPr>
          <w:p>
            <w:pPr>
              <w:pStyle w:val="6"/>
              <w:spacing w:line="280" w:lineRule="exact"/>
              <w:jc w:val="center"/>
            </w:pPr>
            <w:r>
              <w:rPr>
                <w:rFonts w:hint="eastAsia"/>
              </w:rPr>
              <w:t>声</w:t>
            </w:r>
          </w:p>
          <w:p>
            <w:pPr>
              <w:pStyle w:val="6"/>
              <w:spacing w:line="280" w:lineRule="exact"/>
              <w:jc w:val="center"/>
            </w:pPr>
          </w:p>
          <w:p>
            <w:pPr>
              <w:pStyle w:val="6"/>
              <w:spacing w:line="280" w:lineRule="exact"/>
              <w:jc w:val="center"/>
            </w:pPr>
            <w:r>
              <w:rPr>
                <w:rFonts w:hint="eastAsia"/>
              </w:rPr>
              <w:t>明</w:t>
            </w:r>
          </w:p>
        </w:tc>
        <w:tc>
          <w:tcPr>
            <w:tcW w:w="8875" w:type="dxa"/>
            <w:gridSpan w:val="4"/>
            <w:vAlign w:val="center"/>
          </w:tcPr>
          <w:p>
            <w:pPr>
              <w:pStyle w:val="6"/>
              <w:spacing w:line="280" w:lineRule="exact"/>
              <w:rPr>
                <w:rFonts w:hint="eastAsia"/>
              </w:rPr>
            </w:pPr>
            <w:r>
              <w:rPr>
                <w:rFonts w:hint="eastAsia"/>
                <w:sz w:val="21"/>
                <w:szCs w:val="21"/>
              </w:rPr>
              <w:t>该企业按照国家规定程序进行交易，申报资料真实、合法，国有股东权益没有受到损害</w:t>
            </w:r>
            <w:r>
              <w:rPr>
                <w:rFonts w:hint="eastAsia"/>
              </w:rPr>
              <w:t>。</w:t>
            </w:r>
          </w:p>
          <w:p>
            <w:pPr>
              <w:pStyle w:val="6"/>
              <w:spacing w:line="280" w:lineRule="exact"/>
              <w:rPr>
                <w:rFonts w:hint="eastAsia"/>
              </w:rPr>
            </w:pPr>
          </w:p>
          <w:p>
            <w:pPr>
              <w:pStyle w:val="6"/>
              <w:spacing w:line="280" w:lineRule="exact"/>
              <w:ind w:firstLine="2520" w:firstLineChars="1200"/>
              <w:rPr>
                <w:sz w:val="21"/>
                <w:szCs w:val="21"/>
              </w:rPr>
            </w:pPr>
            <w:r>
              <w:rPr>
                <w:rFonts w:hint="eastAsia"/>
                <w:sz w:val="21"/>
                <w:szCs w:val="21"/>
              </w:rPr>
              <w:t>申报单位负责人（签章）：</w:t>
            </w:r>
            <w:r>
              <w:rPr>
                <w:sz w:val="21"/>
                <w:szCs w:val="21"/>
              </w:rPr>
              <w:t xml:space="preserve">              </w:t>
            </w:r>
            <w:r>
              <w:rPr>
                <w:rFonts w:hint="eastAsia"/>
                <w:sz w:val="21"/>
                <w:szCs w:val="21"/>
              </w:rPr>
              <w:t>（代公章）</w:t>
            </w:r>
          </w:p>
          <w:p>
            <w:pPr>
              <w:pStyle w:val="6"/>
              <w:spacing w:line="280" w:lineRule="exact"/>
              <w:ind w:firstLine="5460" w:firstLineChars="2600"/>
              <w:rPr>
                <w:sz w:val="21"/>
                <w:szCs w:val="21"/>
              </w:rPr>
            </w:pPr>
            <w:r>
              <w:rPr>
                <w:sz w:val="21"/>
                <w:szCs w:val="21"/>
              </w:rPr>
              <w:t xml:space="preserve"> </w:t>
            </w:r>
            <w:r>
              <w:rPr>
                <w:rFonts w:hint="eastAsia"/>
                <w:sz w:val="21"/>
                <w:szCs w:val="21"/>
                <w:lang w:val="en-US" w:eastAsia="zh-CN"/>
              </w:rPr>
              <w:t xml:space="preserve">       </w:t>
            </w:r>
            <w:r>
              <w:rPr>
                <w:rFonts w:hint="eastAsia"/>
                <w:sz w:val="21"/>
                <w:szCs w:val="21"/>
              </w:rPr>
              <w:t>年</w:t>
            </w:r>
            <w:r>
              <w:rPr>
                <w:sz w:val="21"/>
                <w:szCs w:val="21"/>
              </w:rPr>
              <w:t xml:space="preserve">  </w:t>
            </w:r>
            <w:r>
              <w:rPr>
                <w:rFonts w:hint="eastAsia"/>
                <w:sz w:val="21"/>
                <w:szCs w:val="21"/>
              </w:rPr>
              <w:t xml:space="preserve"> 月</w:t>
            </w:r>
            <w:r>
              <w:rPr>
                <w:sz w:val="21"/>
                <w:szCs w:val="21"/>
              </w:rPr>
              <w:t xml:space="preserve">  </w:t>
            </w:r>
            <w:r>
              <w:rPr>
                <w:rFonts w:hint="eastAsia"/>
                <w:sz w:val="21"/>
                <w:szCs w:val="21"/>
              </w:rPr>
              <w:t xml:space="preserve"> 日</w:t>
            </w:r>
          </w:p>
          <w:p>
            <w:pPr>
              <w:pStyle w:val="6"/>
              <w:spacing w:line="280" w:lineRule="exact"/>
            </w:pPr>
          </w:p>
        </w:tc>
      </w:tr>
    </w:tbl>
    <w:p>
      <w:pPr>
        <w:pStyle w:val="6"/>
        <w:spacing w:line="240" w:lineRule="exact"/>
        <w:jc w:val="center"/>
        <w:rPr>
          <w:rFonts w:hint="eastAsia" w:ascii="华文中宋" w:hAnsi="华文中宋" w:eastAsia="华文中宋"/>
          <w:b/>
          <w:spacing w:val="-10"/>
          <w:w w:val="75"/>
          <w:sz w:val="10"/>
          <w:szCs w:val="10"/>
        </w:rPr>
      </w:pPr>
    </w:p>
    <w:p>
      <w:pPr>
        <w:pStyle w:val="6"/>
        <w:spacing w:line="340" w:lineRule="exact"/>
        <w:ind w:right="482"/>
        <w:rPr>
          <w:rFonts w:hint="eastAsia"/>
        </w:rPr>
      </w:pPr>
      <w:r>
        <w:t xml:space="preserve">   </w:t>
      </w:r>
      <w:r>
        <w:rPr>
          <w:rFonts w:hint="eastAsia"/>
        </w:rPr>
        <w:t>申报单位主管部门负责人：</w:t>
      </w:r>
      <w:r>
        <w:t xml:space="preserve">                      </w:t>
      </w:r>
      <w:r>
        <w:rPr>
          <w:rFonts w:hint="eastAsia"/>
        </w:rPr>
        <w:t>经办人：</w:t>
      </w:r>
    </w:p>
    <w:p>
      <w:pPr>
        <w:pStyle w:val="6"/>
        <w:spacing w:line="340" w:lineRule="exact"/>
        <w:ind w:right="482"/>
        <w:rPr>
          <w:rFonts w:hint="eastAsia"/>
        </w:rPr>
      </w:pPr>
    </w:p>
    <w:p>
      <w:pPr>
        <w:pStyle w:val="6"/>
        <w:spacing w:line="340" w:lineRule="exact"/>
        <w:ind w:right="482"/>
        <w:rPr>
          <w:rFonts w:hint="eastAsia" w:ascii="黑体" w:hAnsi="黑体" w:eastAsia="黑体"/>
          <w:sz w:val="24"/>
          <w:szCs w:val="24"/>
        </w:rPr>
      </w:pPr>
      <w:r>
        <w:rPr>
          <w:rFonts w:hint="eastAsia" w:ascii="楷体" w:hAnsi="楷体" w:eastAsia="楷体"/>
          <w:sz w:val="24"/>
          <w:szCs w:val="24"/>
        </w:rPr>
        <w:t>注：存在产权转让收入的企业填报本表。</w:t>
      </w:r>
    </w:p>
    <w:p>
      <w:pPr>
        <w:pStyle w:val="6"/>
        <w:spacing w:line="520" w:lineRule="exact"/>
        <w:rPr>
          <w:rFonts w:hint="eastAsia" w:ascii="黑体" w:eastAsia="黑体"/>
          <w:sz w:val="30"/>
          <w:szCs w:val="30"/>
        </w:rPr>
      </w:pPr>
      <w:r>
        <w:rPr>
          <w:rFonts w:hint="eastAsia" w:ascii="黑体" w:eastAsia="黑体"/>
          <w:sz w:val="30"/>
          <w:szCs w:val="30"/>
        </w:rPr>
        <w:t>附件</w:t>
      </w:r>
      <w:r>
        <w:rPr>
          <w:rFonts w:hint="eastAsia" w:ascii="黑体" w:eastAsia="黑体"/>
          <w:sz w:val="30"/>
          <w:szCs w:val="30"/>
          <w:lang w:val="en-US" w:eastAsia="zh-CN"/>
        </w:rPr>
        <w:t>4</w:t>
      </w:r>
    </w:p>
    <w:p>
      <w:pPr>
        <w:pStyle w:val="6"/>
        <w:spacing w:line="520" w:lineRule="exact"/>
        <w:jc w:val="center"/>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val="en-US" w:eastAsia="zh-CN"/>
        </w:rPr>
        <w:t>区本级</w:t>
      </w:r>
      <w:r>
        <w:rPr>
          <w:rFonts w:hint="eastAsia" w:ascii="方正小标宋简体" w:hAnsi="方正小标宋简体" w:eastAsia="方正小标宋简体" w:cs="方正小标宋简体"/>
          <w:sz w:val="32"/>
          <w:szCs w:val="32"/>
          <w:lang w:eastAsia="zh-CN"/>
        </w:rPr>
        <w:t>直属企业国有资本收益（企业清算收入）申报表</w:t>
      </w:r>
    </w:p>
    <w:p>
      <w:pPr>
        <w:pStyle w:val="6"/>
        <w:spacing w:line="480" w:lineRule="exact"/>
        <w:jc w:val="center"/>
        <w:rPr>
          <w:rFonts w:hint="eastAsia" w:ascii="方正小标宋简体" w:hAnsi="华文中宋" w:eastAsia="方正小标宋简体"/>
          <w:sz w:val="21"/>
          <w:szCs w:val="21"/>
          <w:lang w:val="en-US" w:eastAsia="zh-CN"/>
        </w:rPr>
      </w:pPr>
      <w:r>
        <w:rPr>
          <w:rFonts w:hint="eastAsia" w:ascii="方正小标宋简体" w:hAnsi="华文中宋" w:eastAsia="方正小标宋简体"/>
          <w:sz w:val="21"/>
          <w:szCs w:val="21"/>
          <w:lang w:val="en-US" w:eastAsia="zh-CN"/>
        </w:rPr>
        <w:t>（   ）年度</w:t>
      </w:r>
    </w:p>
    <w:p>
      <w:pPr>
        <w:pStyle w:val="6"/>
        <w:spacing w:line="240" w:lineRule="exact"/>
        <w:jc w:val="center"/>
        <w:rPr>
          <w:rFonts w:ascii="华文中宋" w:hAnsi="华文中宋" w:eastAsia="华文中宋"/>
          <w:b/>
          <w:spacing w:val="-10"/>
          <w:w w:val="75"/>
          <w:sz w:val="10"/>
          <w:szCs w:val="10"/>
        </w:rPr>
      </w:pPr>
    </w:p>
    <w:tbl>
      <w:tblPr>
        <w:tblStyle w:val="7"/>
        <w:tblW w:w="904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2"/>
        <w:gridCol w:w="2815"/>
        <w:gridCol w:w="1983"/>
        <w:gridCol w:w="2124"/>
        <w:gridCol w:w="1802"/>
        <w:gridCol w:w="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7" w:hRule="exact"/>
        </w:trPr>
        <w:tc>
          <w:tcPr>
            <w:tcW w:w="9036" w:type="dxa"/>
            <w:gridSpan w:val="5"/>
            <w:tcMar>
              <w:left w:w="0" w:type="dxa"/>
              <w:right w:w="0" w:type="dxa"/>
            </w:tcMar>
            <w:vAlign w:val="center"/>
          </w:tcPr>
          <w:p>
            <w:pPr>
              <w:pStyle w:val="6"/>
              <w:spacing w:line="280" w:lineRule="exact"/>
              <w:jc w:val="center"/>
            </w:pPr>
            <w:r>
              <w:rPr>
                <w:rFonts w:hint="eastAsia"/>
              </w:rPr>
              <w:t>申报单位（清算人或管理人）基本情况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7" w:hRule="exact"/>
        </w:trPr>
        <w:tc>
          <w:tcPr>
            <w:tcW w:w="3127" w:type="dxa"/>
            <w:gridSpan w:val="2"/>
            <w:tcMar>
              <w:left w:w="0" w:type="dxa"/>
              <w:right w:w="0" w:type="dxa"/>
            </w:tcMar>
            <w:vAlign w:val="center"/>
          </w:tcPr>
          <w:p>
            <w:pPr>
              <w:pStyle w:val="6"/>
              <w:spacing w:line="280" w:lineRule="exact"/>
              <w:jc w:val="center"/>
            </w:pPr>
            <w:r>
              <w:rPr>
                <w:rFonts w:hint="eastAsia"/>
              </w:rPr>
              <w:t>批准成立单位</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r>
              <w:rPr>
                <w:rFonts w:hint="eastAsia"/>
              </w:rPr>
              <w:t>成立时间</w:t>
            </w:r>
          </w:p>
        </w:tc>
        <w:tc>
          <w:tcPr>
            <w:tcW w:w="1802"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7" w:hRule="exact"/>
        </w:trPr>
        <w:tc>
          <w:tcPr>
            <w:tcW w:w="3127" w:type="dxa"/>
            <w:gridSpan w:val="2"/>
            <w:tcMar>
              <w:left w:w="0" w:type="dxa"/>
              <w:right w:w="0" w:type="dxa"/>
            </w:tcMar>
            <w:vAlign w:val="center"/>
          </w:tcPr>
          <w:p>
            <w:pPr>
              <w:pStyle w:val="6"/>
              <w:spacing w:line="280" w:lineRule="exact"/>
              <w:jc w:val="center"/>
            </w:pPr>
            <w:r>
              <w:rPr>
                <w:rFonts w:hint="eastAsia"/>
              </w:rPr>
              <w:t>开户银行</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r>
              <w:rPr>
                <w:rFonts w:hint="eastAsia"/>
              </w:rPr>
              <w:t>银行账号</w:t>
            </w:r>
          </w:p>
        </w:tc>
        <w:tc>
          <w:tcPr>
            <w:tcW w:w="1802"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7" w:hRule="exact"/>
        </w:trPr>
        <w:tc>
          <w:tcPr>
            <w:tcW w:w="3127" w:type="dxa"/>
            <w:gridSpan w:val="2"/>
            <w:tcMar>
              <w:left w:w="0" w:type="dxa"/>
              <w:right w:w="0" w:type="dxa"/>
            </w:tcMar>
            <w:vAlign w:val="center"/>
          </w:tcPr>
          <w:p>
            <w:pPr>
              <w:pStyle w:val="6"/>
              <w:spacing w:line="280" w:lineRule="exact"/>
              <w:jc w:val="center"/>
            </w:pPr>
            <w:r>
              <w:rPr>
                <w:rFonts w:hint="eastAsia"/>
              </w:rPr>
              <w:t>财务负责人</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r>
              <w:rPr>
                <w:rFonts w:hint="eastAsia"/>
              </w:rPr>
              <w:t>联系电话</w:t>
            </w:r>
          </w:p>
        </w:tc>
        <w:tc>
          <w:tcPr>
            <w:tcW w:w="1802"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7" w:hRule="exact"/>
        </w:trPr>
        <w:tc>
          <w:tcPr>
            <w:tcW w:w="9036" w:type="dxa"/>
            <w:gridSpan w:val="5"/>
            <w:tcMar>
              <w:left w:w="0" w:type="dxa"/>
              <w:right w:w="0" w:type="dxa"/>
            </w:tcMar>
            <w:vAlign w:val="center"/>
          </w:tcPr>
          <w:p>
            <w:pPr>
              <w:pStyle w:val="6"/>
              <w:spacing w:line="280" w:lineRule="exact"/>
              <w:jc w:val="center"/>
            </w:pPr>
            <w:r>
              <w:rPr>
                <w:rFonts w:hint="eastAsia"/>
              </w:rPr>
              <w:t>企业清算基本情况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trPr>
        <w:tc>
          <w:tcPr>
            <w:tcW w:w="3127" w:type="dxa"/>
            <w:gridSpan w:val="2"/>
            <w:tcMar>
              <w:left w:w="0" w:type="dxa"/>
              <w:right w:w="0" w:type="dxa"/>
            </w:tcMar>
            <w:vAlign w:val="center"/>
          </w:tcPr>
          <w:p>
            <w:pPr>
              <w:pStyle w:val="6"/>
              <w:spacing w:line="280" w:lineRule="exact"/>
              <w:jc w:val="center"/>
            </w:pPr>
            <w:r>
              <w:rPr>
                <w:rFonts w:hint="eastAsia"/>
              </w:rPr>
              <w:t>企业名称</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r>
              <w:rPr>
                <w:rFonts w:hint="eastAsia"/>
              </w:rPr>
              <w:t>注册地址</w:t>
            </w:r>
          </w:p>
        </w:tc>
        <w:tc>
          <w:tcPr>
            <w:tcW w:w="1813" w:type="dxa"/>
            <w:gridSpan w:val="2"/>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0" w:hRule="exact"/>
        </w:trPr>
        <w:tc>
          <w:tcPr>
            <w:tcW w:w="3127" w:type="dxa"/>
            <w:gridSpan w:val="2"/>
            <w:tcMar>
              <w:left w:w="0" w:type="dxa"/>
              <w:right w:w="0" w:type="dxa"/>
            </w:tcMar>
            <w:vAlign w:val="center"/>
          </w:tcPr>
          <w:p>
            <w:pPr>
              <w:pStyle w:val="6"/>
              <w:spacing w:line="280" w:lineRule="exact"/>
              <w:jc w:val="center"/>
            </w:pPr>
            <w:r>
              <w:rPr>
                <w:rFonts w:hint="eastAsia"/>
              </w:rPr>
              <w:t>所处行业</w:t>
            </w:r>
          </w:p>
        </w:tc>
        <w:tc>
          <w:tcPr>
            <w:tcW w:w="1983" w:type="dxa"/>
            <w:vAlign w:val="center"/>
          </w:tcPr>
          <w:p>
            <w:pPr>
              <w:pStyle w:val="6"/>
              <w:spacing w:line="280" w:lineRule="exact"/>
              <w:jc w:val="center"/>
            </w:pPr>
          </w:p>
        </w:tc>
        <w:tc>
          <w:tcPr>
            <w:tcW w:w="2124" w:type="dxa"/>
            <w:vAlign w:val="center"/>
          </w:tcPr>
          <w:p>
            <w:pPr>
              <w:pStyle w:val="6"/>
              <w:spacing w:line="240" w:lineRule="atLeast"/>
              <w:jc w:val="center"/>
            </w:pPr>
            <w:r>
              <w:rPr>
                <w:rFonts w:hint="eastAsia"/>
              </w:rPr>
              <w:t>组织形式</w:t>
            </w:r>
          </w:p>
          <w:p>
            <w:pPr>
              <w:pStyle w:val="6"/>
              <w:spacing w:line="240" w:lineRule="atLeast"/>
              <w:jc w:val="center"/>
              <w:rPr>
                <w:w w:val="65"/>
                <w:sz w:val="20"/>
              </w:rPr>
            </w:pPr>
            <w:r>
              <w:rPr>
                <w:rFonts w:hint="eastAsia"/>
                <w:spacing w:val="-8"/>
                <w:w w:val="65"/>
                <w:sz w:val="22"/>
              </w:rPr>
              <w:t>（</w:t>
            </w:r>
            <w:r>
              <w:rPr>
                <w:rFonts w:hint="eastAsia"/>
                <w:spacing w:val="-8"/>
                <w:w w:val="65"/>
                <w:sz w:val="20"/>
              </w:rPr>
              <w:t>国有独资企业或国有控股参股企业</w:t>
            </w:r>
            <w:r>
              <w:rPr>
                <w:rFonts w:hint="eastAsia"/>
                <w:w w:val="65"/>
                <w:sz w:val="20"/>
              </w:rPr>
              <w:t>）</w:t>
            </w:r>
          </w:p>
          <w:p>
            <w:pPr>
              <w:pStyle w:val="6"/>
              <w:spacing w:line="280" w:lineRule="exact"/>
              <w:jc w:val="center"/>
              <w:rPr>
                <w:w w:val="65"/>
              </w:rPr>
            </w:pPr>
          </w:p>
          <w:p>
            <w:pPr>
              <w:pStyle w:val="6"/>
              <w:spacing w:line="280" w:lineRule="exact"/>
              <w:jc w:val="center"/>
            </w:pPr>
          </w:p>
        </w:tc>
        <w:tc>
          <w:tcPr>
            <w:tcW w:w="1813" w:type="dxa"/>
            <w:gridSpan w:val="2"/>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3127" w:type="dxa"/>
            <w:gridSpan w:val="2"/>
            <w:tcMar>
              <w:left w:w="0" w:type="dxa"/>
              <w:right w:w="0" w:type="dxa"/>
            </w:tcMar>
            <w:vAlign w:val="center"/>
          </w:tcPr>
          <w:p>
            <w:pPr>
              <w:pStyle w:val="6"/>
              <w:spacing w:line="280" w:lineRule="exact"/>
              <w:jc w:val="center"/>
            </w:pPr>
            <w:r>
              <w:rPr>
                <w:rFonts w:hint="eastAsia"/>
              </w:rPr>
              <w:t>注册资本</w:t>
            </w:r>
          </w:p>
        </w:tc>
        <w:tc>
          <w:tcPr>
            <w:tcW w:w="1983" w:type="dxa"/>
            <w:vAlign w:val="center"/>
          </w:tcPr>
          <w:p>
            <w:pPr>
              <w:pStyle w:val="6"/>
              <w:spacing w:line="280" w:lineRule="exact"/>
              <w:jc w:val="center"/>
            </w:pPr>
          </w:p>
        </w:tc>
        <w:tc>
          <w:tcPr>
            <w:tcW w:w="2124" w:type="dxa"/>
            <w:vAlign w:val="center"/>
          </w:tcPr>
          <w:p>
            <w:pPr>
              <w:pStyle w:val="6"/>
              <w:spacing w:line="280" w:lineRule="exact"/>
              <w:jc w:val="center"/>
              <w:rPr>
                <w:sz w:val="21"/>
                <w:szCs w:val="21"/>
              </w:rPr>
            </w:pPr>
            <w:r>
              <w:rPr>
                <w:rFonts w:hint="eastAsia"/>
                <w:sz w:val="18"/>
                <w:szCs w:val="18"/>
              </w:rPr>
              <w:t>其中：国有股权（股</w:t>
            </w:r>
            <w:r>
              <w:rPr>
                <w:rFonts w:hint="eastAsia"/>
                <w:sz w:val="21"/>
                <w:szCs w:val="21"/>
              </w:rPr>
              <w:t>份）</w:t>
            </w:r>
          </w:p>
        </w:tc>
        <w:tc>
          <w:tcPr>
            <w:tcW w:w="1813" w:type="dxa"/>
            <w:gridSpan w:val="2"/>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3127" w:type="dxa"/>
            <w:gridSpan w:val="2"/>
            <w:tcMar>
              <w:left w:w="0" w:type="dxa"/>
              <w:right w:w="0" w:type="dxa"/>
            </w:tcMar>
            <w:vAlign w:val="center"/>
          </w:tcPr>
          <w:p>
            <w:pPr>
              <w:pStyle w:val="6"/>
              <w:spacing w:line="280" w:lineRule="exact"/>
              <w:jc w:val="center"/>
            </w:pPr>
            <w:r>
              <w:rPr>
                <w:rFonts w:hint="eastAsia"/>
              </w:rPr>
              <w:t>原法人代表</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r>
              <w:rPr>
                <w:rFonts w:hint="eastAsia"/>
              </w:rPr>
              <w:t>原财务负责人</w:t>
            </w:r>
          </w:p>
        </w:tc>
        <w:tc>
          <w:tcPr>
            <w:tcW w:w="1813" w:type="dxa"/>
            <w:gridSpan w:val="2"/>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3127" w:type="dxa"/>
            <w:gridSpan w:val="2"/>
            <w:tcMar>
              <w:left w:w="0" w:type="dxa"/>
              <w:right w:w="0" w:type="dxa"/>
            </w:tcMar>
            <w:vAlign w:val="center"/>
          </w:tcPr>
          <w:p>
            <w:pPr>
              <w:pStyle w:val="6"/>
              <w:spacing w:line="280" w:lineRule="exact"/>
              <w:jc w:val="center"/>
            </w:pPr>
            <w:r>
              <w:rPr>
                <w:rFonts w:hint="eastAsia"/>
              </w:rPr>
              <w:t>账面资产总额</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r>
              <w:rPr>
                <w:rFonts w:hint="eastAsia"/>
              </w:rPr>
              <w:t>其中：固定资产</w:t>
            </w:r>
          </w:p>
        </w:tc>
        <w:tc>
          <w:tcPr>
            <w:tcW w:w="1813" w:type="dxa"/>
            <w:gridSpan w:val="2"/>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3127" w:type="dxa"/>
            <w:gridSpan w:val="2"/>
            <w:tcMar>
              <w:left w:w="0" w:type="dxa"/>
              <w:right w:w="0" w:type="dxa"/>
            </w:tcMar>
            <w:vAlign w:val="center"/>
          </w:tcPr>
          <w:p>
            <w:pPr>
              <w:pStyle w:val="6"/>
              <w:spacing w:line="280" w:lineRule="exact"/>
              <w:jc w:val="center"/>
            </w:pPr>
            <w:r>
              <w:rPr>
                <w:rFonts w:hint="eastAsia"/>
              </w:rPr>
              <w:t>账面负债总额</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r>
              <w:rPr>
                <w:rFonts w:hint="eastAsia"/>
              </w:rPr>
              <w:t>账面净资产</w:t>
            </w:r>
          </w:p>
        </w:tc>
        <w:tc>
          <w:tcPr>
            <w:tcW w:w="1813" w:type="dxa"/>
            <w:gridSpan w:val="2"/>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3127" w:type="dxa"/>
            <w:gridSpan w:val="2"/>
            <w:tcMar>
              <w:left w:w="0" w:type="dxa"/>
              <w:right w:w="0" w:type="dxa"/>
            </w:tcMar>
            <w:vAlign w:val="center"/>
          </w:tcPr>
          <w:p>
            <w:pPr>
              <w:pStyle w:val="6"/>
              <w:spacing w:line="280" w:lineRule="exact"/>
              <w:jc w:val="center"/>
            </w:pPr>
            <w:r>
              <w:rPr>
                <w:rFonts w:hint="eastAsia"/>
              </w:rPr>
              <w:t>审计机构</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r>
              <w:rPr>
                <w:rFonts w:hint="eastAsia"/>
              </w:rPr>
              <w:t>法人代表</w:t>
            </w:r>
          </w:p>
        </w:tc>
        <w:tc>
          <w:tcPr>
            <w:tcW w:w="1813" w:type="dxa"/>
            <w:gridSpan w:val="2"/>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3127" w:type="dxa"/>
            <w:gridSpan w:val="2"/>
            <w:tcMar>
              <w:left w:w="0" w:type="dxa"/>
              <w:right w:w="0" w:type="dxa"/>
            </w:tcMar>
            <w:vAlign w:val="center"/>
          </w:tcPr>
          <w:p>
            <w:pPr>
              <w:pStyle w:val="6"/>
              <w:spacing w:line="280" w:lineRule="exact"/>
              <w:jc w:val="center"/>
            </w:pPr>
            <w:r>
              <w:rPr>
                <w:rFonts w:hint="eastAsia"/>
              </w:rPr>
              <w:t>资产评估机构</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r>
              <w:rPr>
                <w:rFonts w:hint="eastAsia"/>
              </w:rPr>
              <w:t>法人代表</w:t>
            </w:r>
          </w:p>
        </w:tc>
        <w:tc>
          <w:tcPr>
            <w:tcW w:w="1813" w:type="dxa"/>
            <w:gridSpan w:val="2"/>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40" w:hRule="exact"/>
        </w:trPr>
        <w:tc>
          <w:tcPr>
            <w:tcW w:w="3127" w:type="dxa"/>
            <w:gridSpan w:val="2"/>
            <w:tcMar>
              <w:left w:w="0" w:type="dxa"/>
              <w:right w:w="0" w:type="dxa"/>
            </w:tcMar>
            <w:vAlign w:val="center"/>
          </w:tcPr>
          <w:p>
            <w:pPr>
              <w:pStyle w:val="6"/>
              <w:spacing w:line="280" w:lineRule="exact"/>
              <w:jc w:val="center"/>
              <w:rPr>
                <w:sz w:val="21"/>
              </w:rPr>
            </w:pPr>
            <w:r>
              <w:rPr>
                <w:rFonts w:hint="eastAsia"/>
                <w:w w:val="70"/>
                <w:sz w:val="21"/>
              </w:rPr>
              <w:t>清算终结日（或法院裁定清算程序终结日）</w:t>
            </w:r>
          </w:p>
        </w:tc>
        <w:tc>
          <w:tcPr>
            <w:tcW w:w="5909" w:type="dxa"/>
            <w:gridSpan w:val="3"/>
            <w:vAlign w:val="center"/>
          </w:tcPr>
          <w:p>
            <w:pPr>
              <w:pStyle w:val="6"/>
              <w:spacing w:line="280" w:lineRule="exact"/>
              <w:jc w:val="center"/>
              <w:rPr>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40" w:hRule="exact"/>
        </w:trPr>
        <w:tc>
          <w:tcPr>
            <w:tcW w:w="9036" w:type="dxa"/>
            <w:gridSpan w:val="5"/>
            <w:tcMar>
              <w:left w:w="0" w:type="dxa"/>
              <w:right w:w="0" w:type="dxa"/>
            </w:tcMar>
            <w:vAlign w:val="center"/>
          </w:tcPr>
          <w:p>
            <w:pPr>
              <w:pStyle w:val="6"/>
              <w:spacing w:line="280" w:lineRule="exact"/>
              <w:jc w:val="center"/>
            </w:pPr>
            <w:r>
              <w:rPr>
                <w:rFonts w:hint="eastAsia"/>
              </w:rPr>
              <w:t>应交企业清算收入申报情况</w:t>
            </w:r>
            <w:r>
              <w:rPr>
                <w:rFonts w:hint="eastAsia"/>
                <w:color w:val="000000"/>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413" w:hRule="exact"/>
        </w:trPr>
        <w:tc>
          <w:tcPr>
            <w:tcW w:w="3127" w:type="dxa"/>
            <w:gridSpan w:val="2"/>
            <w:tcMar>
              <w:left w:w="0" w:type="dxa"/>
              <w:right w:w="0" w:type="dxa"/>
            </w:tcMar>
            <w:vAlign w:val="center"/>
          </w:tcPr>
          <w:p>
            <w:pPr>
              <w:pStyle w:val="6"/>
              <w:spacing w:line="280" w:lineRule="exact"/>
              <w:jc w:val="center"/>
            </w:pPr>
            <w:r>
              <w:rPr>
                <w:rFonts w:hint="eastAsia"/>
              </w:rPr>
              <w:t>项目</w:t>
            </w:r>
          </w:p>
        </w:tc>
        <w:tc>
          <w:tcPr>
            <w:tcW w:w="1983" w:type="dxa"/>
            <w:vAlign w:val="center"/>
          </w:tcPr>
          <w:p>
            <w:pPr>
              <w:widowControl/>
              <w:jc w:val="center"/>
            </w:pPr>
            <w:r>
              <w:rPr>
                <w:rFonts w:hint="eastAsia" w:ascii="宋体" w:hAnsi="宋体" w:cs="宋体"/>
                <w:color w:val="000000"/>
                <w:kern w:val="0"/>
                <w:sz w:val="24"/>
                <w:szCs w:val="24"/>
              </w:rPr>
              <w:t>申报数</w:t>
            </w:r>
          </w:p>
        </w:tc>
        <w:tc>
          <w:tcPr>
            <w:tcW w:w="2124" w:type="dxa"/>
            <w:vAlign w:val="center"/>
          </w:tcPr>
          <w:p>
            <w:pPr>
              <w:widowControl/>
              <w:jc w:val="center"/>
            </w:pPr>
            <w:r>
              <w:rPr>
                <w:rFonts w:hint="eastAsia" w:ascii="宋体" w:hAnsi="宋体" w:cs="宋体"/>
                <w:color w:val="000000"/>
                <w:kern w:val="0"/>
                <w:sz w:val="22"/>
                <w:szCs w:val="24"/>
              </w:rPr>
              <w:t>监管部门审核数</w:t>
            </w:r>
          </w:p>
        </w:tc>
        <w:tc>
          <w:tcPr>
            <w:tcW w:w="1802" w:type="dxa"/>
            <w:vAlign w:val="center"/>
          </w:tcPr>
          <w:p>
            <w:pPr>
              <w:widowControl/>
              <w:jc w:val="center"/>
            </w:pPr>
            <w:r>
              <w:rPr>
                <w:rFonts w:hint="eastAsia" w:ascii="宋体" w:hAnsi="宋体" w:cs="宋体"/>
                <w:color w:val="000000"/>
                <w:kern w:val="0"/>
                <w:sz w:val="22"/>
                <w:szCs w:val="24"/>
              </w:rPr>
              <w:t>财政</w:t>
            </w:r>
            <w:r>
              <w:rPr>
                <w:rFonts w:hint="eastAsia" w:ascii="宋体" w:hAnsi="宋体" w:cs="宋体"/>
                <w:color w:val="000000"/>
                <w:kern w:val="0"/>
                <w:sz w:val="22"/>
                <w:szCs w:val="24"/>
                <w:lang w:val="en-US" w:eastAsia="zh-CN"/>
              </w:rPr>
              <w:t>部门</w:t>
            </w:r>
            <w:r>
              <w:rPr>
                <w:rFonts w:hint="eastAsia" w:ascii="宋体" w:hAnsi="宋体" w:cs="宋体"/>
                <w:color w:val="000000"/>
                <w:kern w:val="0"/>
                <w:sz w:val="22"/>
                <w:szCs w:val="24"/>
              </w:rPr>
              <w:t>复核数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40" w:hRule="exact"/>
        </w:trPr>
        <w:tc>
          <w:tcPr>
            <w:tcW w:w="3127" w:type="dxa"/>
            <w:gridSpan w:val="2"/>
            <w:tcMar>
              <w:left w:w="0" w:type="dxa"/>
              <w:right w:w="0" w:type="dxa"/>
            </w:tcMar>
            <w:vAlign w:val="center"/>
          </w:tcPr>
          <w:p>
            <w:pPr>
              <w:pStyle w:val="6"/>
              <w:spacing w:line="280" w:lineRule="exact"/>
            </w:pPr>
            <w:r>
              <w:rPr>
                <w:rFonts w:hint="eastAsia"/>
              </w:rPr>
              <w:t>清算财产变价总收入</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p>
        </w:tc>
        <w:tc>
          <w:tcPr>
            <w:tcW w:w="1802"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40" w:hRule="exact"/>
        </w:trPr>
        <w:tc>
          <w:tcPr>
            <w:tcW w:w="3127" w:type="dxa"/>
            <w:gridSpan w:val="2"/>
            <w:tcMar>
              <w:left w:w="0" w:type="dxa"/>
              <w:right w:w="0" w:type="dxa"/>
            </w:tcMar>
            <w:vAlign w:val="center"/>
          </w:tcPr>
          <w:p>
            <w:pPr>
              <w:pStyle w:val="6"/>
              <w:spacing w:line="280" w:lineRule="exact"/>
            </w:pPr>
            <w:r>
              <w:rPr>
                <w:rFonts w:hint="eastAsia"/>
              </w:rPr>
              <w:t>减：清算费用</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p>
        </w:tc>
        <w:tc>
          <w:tcPr>
            <w:tcW w:w="1802"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40" w:hRule="exact"/>
        </w:trPr>
        <w:tc>
          <w:tcPr>
            <w:tcW w:w="3127" w:type="dxa"/>
            <w:gridSpan w:val="2"/>
            <w:tcMar>
              <w:left w:w="0" w:type="dxa"/>
              <w:right w:w="0" w:type="dxa"/>
            </w:tcMar>
            <w:vAlign w:val="center"/>
          </w:tcPr>
          <w:p>
            <w:pPr>
              <w:pStyle w:val="6"/>
              <w:spacing w:line="280" w:lineRule="exact"/>
            </w:pPr>
            <w:r>
              <w:rPr>
                <w:rFonts w:hint="eastAsia"/>
              </w:rPr>
              <w:t>减：共益债务</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p>
        </w:tc>
        <w:tc>
          <w:tcPr>
            <w:tcW w:w="1802"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40" w:hRule="exact"/>
        </w:trPr>
        <w:tc>
          <w:tcPr>
            <w:tcW w:w="3127" w:type="dxa"/>
            <w:gridSpan w:val="2"/>
            <w:tcMar>
              <w:left w:w="0" w:type="dxa"/>
              <w:right w:w="0" w:type="dxa"/>
            </w:tcMar>
            <w:vAlign w:val="center"/>
          </w:tcPr>
          <w:p>
            <w:pPr>
              <w:pStyle w:val="6"/>
              <w:spacing w:line="280" w:lineRule="exact"/>
            </w:pPr>
            <w:r>
              <w:rPr>
                <w:rFonts w:hint="eastAsia"/>
              </w:rPr>
              <w:t>剩余清算收入</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p>
        </w:tc>
        <w:tc>
          <w:tcPr>
            <w:tcW w:w="1802"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40" w:hRule="exact"/>
        </w:trPr>
        <w:tc>
          <w:tcPr>
            <w:tcW w:w="3127" w:type="dxa"/>
            <w:gridSpan w:val="2"/>
            <w:tcMar>
              <w:left w:w="0" w:type="dxa"/>
              <w:right w:w="0" w:type="dxa"/>
            </w:tcMar>
            <w:vAlign w:val="center"/>
          </w:tcPr>
          <w:p>
            <w:pPr>
              <w:pStyle w:val="6"/>
              <w:spacing w:line="280" w:lineRule="exact"/>
            </w:pPr>
            <w:r>
              <w:rPr>
                <w:rFonts w:hint="eastAsia"/>
              </w:rPr>
              <w:t>减：拖欠职工的劳动债权</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p>
        </w:tc>
        <w:tc>
          <w:tcPr>
            <w:tcW w:w="1802"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40" w:hRule="exact"/>
        </w:trPr>
        <w:tc>
          <w:tcPr>
            <w:tcW w:w="3127" w:type="dxa"/>
            <w:gridSpan w:val="2"/>
            <w:tcMar>
              <w:left w:w="0" w:type="dxa"/>
              <w:right w:w="0" w:type="dxa"/>
            </w:tcMar>
            <w:vAlign w:val="center"/>
          </w:tcPr>
          <w:p>
            <w:pPr>
              <w:pStyle w:val="6"/>
              <w:spacing w:line="280" w:lineRule="exact"/>
            </w:pPr>
            <w:r>
              <w:rPr>
                <w:rFonts w:hint="eastAsia"/>
              </w:rPr>
              <w:t>减：缴纳欠交税款</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p>
        </w:tc>
        <w:tc>
          <w:tcPr>
            <w:tcW w:w="1802"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40" w:hRule="exact"/>
        </w:trPr>
        <w:tc>
          <w:tcPr>
            <w:tcW w:w="3127" w:type="dxa"/>
            <w:gridSpan w:val="2"/>
            <w:tcMar>
              <w:left w:w="0" w:type="dxa"/>
              <w:right w:w="0" w:type="dxa"/>
            </w:tcMar>
            <w:vAlign w:val="center"/>
          </w:tcPr>
          <w:p>
            <w:pPr>
              <w:pStyle w:val="6"/>
              <w:spacing w:line="280" w:lineRule="exact"/>
            </w:pPr>
            <w:r>
              <w:rPr>
                <w:rFonts w:hint="eastAsia"/>
              </w:rPr>
              <w:t>减：清偿普通债务</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p>
        </w:tc>
        <w:tc>
          <w:tcPr>
            <w:tcW w:w="1802"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40" w:hRule="exact"/>
        </w:trPr>
        <w:tc>
          <w:tcPr>
            <w:tcW w:w="3127" w:type="dxa"/>
            <w:gridSpan w:val="2"/>
            <w:tcMar>
              <w:left w:w="0" w:type="dxa"/>
              <w:right w:w="0" w:type="dxa"/>
            </w:tcMar>
            <w:vAlign w:val="center"/>
          </w:tcPr>
          <w:p>
            <w:pPr>
              <w:pStyle w:val="6"/>
              <w:spacing w:line="280" w:lineRule="exact"/>
            </w:pPr>
            <w:r>
              <w:rPr>
                <w:rFonts w:hint="eastAsia"/>
              </w:rPr>
              <w:t>清算净收入</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p>
        </w:tc>
        <w:tc>
          <w:tcPr>
            <w:tcW w:w="1802"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40" w:hRule="exact"/>
        </w:trPr>
        <w:tc>
          <w:tcPr>
            <w:tcW w:w="3127" w:type="dxa"/>
            <w:gridSpan w:val="2"/>
            <w:tcMar>
              <w:left w:w="0" w:type="dxa"/>
              <w:right w:w="0" w:type="dxa"/>
            </w:tcMar>
            <w:vAlign w:val="center"/>
          </w:tcPr>
          <w:p>
            <w:pPr>
              <w:pStyle w:val="6"/>
              <w:spacing w:line="280" w:lineRule="exact"/>
            </w:pPr>
            <w:r>
              <w:rPr>
                <w:rFonts w:hint="eastAsia"/>
              </w:rPr>
              <w:t>国有股权（股份）所占比例</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p>
        </w:tc>
        <w:tc>
          <w:tcPr>
            <w:tcW w:w="1802"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40" w:hRule="exact"/>
        </w:trPr>
        <w:tc>
          <w:tcPr>
            <w:tcW w:w="3127" w:type="dxa"/>
            <w:gridSpan w:val="2"/>
            <w:tcMar>
              <w:left w:w="0" w:type="dxa"/>
              <w:right w:w="0" w:type="dxa"/>
            </w:tcMar>
            <w:vAlign w:val="center"/>
          </w:tcPr>
          <w:p>
            <w:pPr>
              <w:pStyle w:val="6"/>
              <w:spacing w:line="280" w:lineRule="exact"/>
            </w:pPr>
            <w:r>
              <w:rPr>
                <w:rFonts w:hint="eastAsia"/>
              </w:rPr>
              <w:t>应交企业清算收入</w:t>
            </w:r>
          </w:p>
        </w:tc>
        <w:tc>
          <w:tcPr>
            <w:tcW w:w="1983" w:type="dxa"/>
            <w:vAlign w:val="center"/>
          </w:tcPr>
          <w:p>
            <w:pPr>
              <w:pStyle w:val="6"/>
              <w:spacing w:line="280" w:lineRule="exact"/>
              <w:jc w:val="center"/>
            </w:pPr>
          </w:p>
        </w:tc>
        <w:tc>
          <w:tcPr>
            <w:tcW w:w="2124" w:type="dxa"/>
            <w:vAlign w:val="center"/>
          </w:tcPr>
          <w:p>
            <w:pPr>
              <w:pStyle w:val="6"/>
              <w:spacing w:line="280" w:lineRule="exact"/>
              <w:jc w:val="center"/>
            </w:pPr>
          </w:p>
        </w:tc>
        <w:tc>
          <w:tcPr>
            <w:tcW w:w="1802" w:type="dxa"/>
            <w:vAlign w:val="center"/>
          </w:tcPr>
          <w:p>
            <w:pPr>
              <w:pStyle w:val="6"/>
              <w:spacing w:line="280" w:lineRule="exact"/>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40" w:hRule="exact"/>
        </w:trPr>
        <w:tc>
          <w:tcPr>
            <w:tcW w:w="9036" w:type="dxa"/>
            <w:gridSpan w:val="5"/>
            <w:tcMar>
              <w:left w:w="0" w:type="dxa"/>
              <w:right w:w="0" w:type="dxa"/>
            </w:tcMar>
            <w:vAlign w:val="center"/>
          </w:tcPr>
          <w:p>
            <w:pPr>
              <w:pStyle w:val="6"/>
              <w:spacing w:line="280" w:lineRule="exact"/>
              <w:jc w:val="center"/>
            </w:pPr>
            <w:r>
              <w:rPr>
                <w:rFonts w:hint="eastAsia"/>
              </w:rPr>
              <w:t>附列资料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857" w:hRule="exact"/>
        </w:trPr>
        <w:tc>
          <w:tcPr>
            <w:tcW w:w="9036" w:type="dxa"/>
            <w:gridSpan w:val="5"/>
            <w:tcMar>
              <w:left w:w="0" w:type="dxa"/>
              <w:right w:w="0" w:type="dxa"/>
            </w:tcMar>
            <w:vAlign w:val="center"/>
          </w:tcPr>
          <w:p>
            <w:pPr>
              <w:pStyle w:val="6"/>
              <w:spacing w:line="280" w:lineRule="exact"/>
              <w:jc w:val="both"/>
            </w:pPr>
            <w:r>
              <w:t>1.</w:t>
            </w:r>
            <w:r>
              <w:rPr>
                <w:rFonts w:hint="eastAsia"/>
              </w:rPr>
              <w:t>股东大会关于实施清算的决议或有关部门批准清算的文件；</w:t>
            </w:r>
          </w:p>
          <w:p>
            <w:pPr>
              <w:pStyle w:val="6"/>
              <w:spacing w:line="280" w:lineRule="exact"/>
              <w:jc w:val="both"/>
            </w:pPr>
            <w:r>
              <w:t>2.</w:t>
            </w:r>
            <w:r>
              <w:rPr>
                <w:rFonts w:hint="eastAsia"/>
              </w:rPr>
              <w:t>清算人或管理人组织成立的文件；</w:t>
            </w:r>
            <w:r>
              <w:t xml:space="preserve">   3.</w:t>
            </w:r>
            <w:r>
              <w:rPr>
                <w:rFonts w:hint="eastAsia"/>
              </w:rPr>
              <w:t>清算审计报告；</w:t>
            </w:r>
          </w:p>
          <w:p>
            <w:pPr>
              <w:pStyle w:val="6"/>
              <w:spacing w:line="280" w:lineRule="exact"/>
              <w:jc w:val="both"/>
            </w:pPr>
            <w:r>
              <w:t>4.</w:t>
            </w:r>
            <w:r>
              <w:rPr>
                <w:rFonts w:hint="eastAsia"/>
              </w:rPr>
              <w:t>企业清算报告；</w:t>
            </w:r>
            <w:r>
              <w:t xml:space="preserve">                   5.</w:t>
            </w:r>
            <w:r>
              <w:rPr>
                <w:rFonts w:hint="eastAsia"/>
              </w:rPr>
              <w:t>其他资料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992" w:hRule="exact"/>
        </w:trPr>
        <w:tc>
          <w:tcPr>
            <w:tcW w:w="312" w:type="dxa"/>
            <w:tcMar>
              <w:left w:w="0" w:type="dxa"/>
              <w:right w:w="0" w:type="dxa"/>
            </w:tcMar>
            <w:vAlign w:val="center"/>
          </w:tcPr>
          <w:p>
            <w:pPr>
              <w:pStyle w:val="6"/>
              <w:spacing w:line="340" w:lineRule="exact"/>
            </w:pPr>
            <w:r>
              <w:rPr>
                <w:rFonts w:hint="eastAsia"/>
              </w:rPr>
              <w:t>声</w:t>
            </w:r>
          </w:p>
          <w:p>
            <w:pPr>
              <w:pStyle w:val="6"/>
              <w:spacing w:line="340" w:lineRule="exact"/>
            </w:pPr>
          </w:p>
          <w:p>
            <w:pPr>
              <w:pStyle w:val="6"/>
              <w:spacing w:line="340" w:lineRule="exact"/>
            </w:pPr>
            <w:r>
              <w:rPr>
                <w:rFonts w:hint="eastAsia"/>
              </w:rPr>
              <w:t>明</w:t>
            </w:r>
          </w:p>
        </w:tc>
        <w:tc>
          <w:tcPr>
            <w:tcW w:w="8724" w:type="dxa"/>
            <w:gridSpan w:val="4"/>
            <w:vAlign w:val="center"/>
          </w:tcPr>
          <w:p>
            <w:pPr>
              <w:pStyle w:val="6"/>
              <w:spacing w:line="340" w:lineRule="exact"/>
              <w:rPr>
                <w:sz w:val="21"/>
                <w:szCs w:val="21"/>
              </w:rPr>
            </w:pPr>
            <w:r>
              <w:rPr>
                <w:rFonts w:hint="eastAsia"/>
                <w:sz w:val="21"/>
                <w:szCs w:val="21"/>
              </w:rPr>
              <w:t>该企业按照国家规定实施清算，申报资料真实、合法，股东合法权益没有受到损害。</w:t>
            </w:r>
          </w:p>
          <w:p>
            <w:pPr>
              <w:pStyle w:val="6"/>
              <w:spacing w:line="340" w:lineRule="exact"/>
              <w:ind w:firstLine="1080" w:firstLineChars="450"/>
            </w:pPr>
            <w:r>
              <w:rPr>
                <w:rFonts w:hint="eastAsia"/>
              </w:rPr>
              <w:t>清算人或管理人代表（签章）：</w:t>
            </w:r>
            <w:r>
              <w:t xml:space="preserve">              </w:t>
            </w:r>
            <w:r>
              <w:rPr>
                <w:rFonts w:hint="eastAsia"/>
              </w:rPr>
              <w:t>（代公章）</w:t>
            </w:r>
          </w:p>
          <w:p>
            <w:pPr>
              <w:pStyle w:val="6"/>
              <w:spacing w:line="340" w:lineRule="exact"/>
              <w:ind w:firstLine="5880" w:firstLineChars="2450"/>
            </w:pPr>
            <w:r>
              <w:t xml:space="preserve">  </w:t>
            </w:r>
            <w:r>
              <w:rPr>
                <w:rFonts w:hint="eastAsia"/>
              </w:rPr>
              <w:t>年</w:t>
            </w:r>
            <w:r>
              <w:t xml:space="preserve">  </w:t>
            </w:r>
            <w:r>
              <w:rPr>
                <w:rFonts w:hint="eastAsia"/>
              </w:rPr>
              <w:t>月</w:t>
            </w:r>
            <w:r>
              <w:t xml:space="preserve">  </w:t>
            </w:r>
            <w:r>
              <w:rPr>
                <w:rFonts w:hint="eastAsia"/>
              </w:rPr>
              <w:t>日</w:t>
            </w:r>
          </w:p>
          <w:p>
            <w:pPr>
              <w:pStyle w:val="6"/>
              <w:spacing w:line="340" w:lineRule="exact"/>
            </w:pPr>
          </w:p>
        </w:tc>
      </w:tr>
    </w:tbl>
    <w:p>
      <w:pPr>
        <w:pStyle w:val="6"/>
        <w:spacing w:line="340" w:lineRule="exact"/>
        <w:ind w:firstLine="5520" w:firstLineChars="2300"/>
        <w:rPr>
          <w:rFonts w:hint="eastAsia"/>
        </w:rPr>
      </w:pPr>
      <w:r>
        <w:rPr>
          <w:rFonts w:hint="eastAsia"/>
        </w:rPr>
        <w:t>经办人：</w:t>
      </w:r>
    </w:p>
    <w:p>
      <w:pPr>
        <w:pStyle w:val="6"/>
        <w:spacing w:line="340" w:lineRule="exact"/>
        <w:rPr>
          <w:rFonts w:hint="eastAsia" w:ascii="仿宋_GB2312" w:hAnsi="仿宋_GB2312" w:eastAsia="仿宋_GB2312" w:cs="仿宋_GB2312"/>
          <w:sz w:val="32"/>
          <w:szCs w:val="32"/>
        </w:rPr>
      </w:pPr>
      <w:r>
        <w:rPr>
          <w:rFonts w:hint="eastAsia" w:ascii="楷体" w:hAnsi="楷体" w:eastAsia="楷体"/>
          <w:sz w:val="28"/>
          <w:szCs w:val="28"/>
        </w:rPr>
        <w:t>注：存在清算收入的企业填报本表。</w:t>
      </w:r>
    </w:p>
    <w:sectPr>
      <w:footerReference r:id="rId3" w:type="default"/>
      <w:pgSz w:w="11906" w:h="16838"/>
      <w:pgMar w:top="1134" w:right="1361" w:bottom="1020" w:left="1361" w:header="851" w:footer="992" w:gutter="0"/>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auto"/>
    <w:pitch w:val="default"/>
    <w:sig w:usb0="00000000" w:usb1="00000000"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国标宋体-超大字符集">
    <w:panose1 w:val="03000509000000000000"/>
    <w:charset w:val="86"/>
    <w:family w:val="auto"/>
    <w:pitch w:val="default"/>
    <w:sig w:usb0="00000001" w:usb1="08000000" w:usb2="00000000" w:usb3="00000000" w:csb0="00040001" w:csb1="00000000"/>
  </w:font>
  <w:font w:name="Bitstream Charter">
    <w:panose1 w:val="00000000000000000000"/>
    <w:charset w:val="00"/>
    <w:family w:val="auto"/>
    <w:pitch w:val="default"/>
    <w:sig w:usb0="00000000" w:usb1="00000000" w:usb2="00000000" w:usb3="00000000" w:csb0="00000000" w:csb1="00000000"/>
  </w:font>
  <w:font w:name="Courier 10 Pitch">
    <w:panose1 w:val="00000000000000000000"/>
    <w:charset w:val="00"/>
    <w:family w:val="auto"/>
    <w:pitch w:val="default"/>
    <w:sig w:usb0="00000000" w:usb1="00000000" w:usb2="00000000" w:usb3="00000000" w:csb0="00000000" w:csb1="00000000"/>
  </w:font>
  <w:font w:name="Noto Music">
    <w:panose1 w:val="020B0502040504020204"/>
    <w:charset w:val="00"/>
    <w:family w:val="auto"/>
    <w:pitch w:val="default"/>
    <w:sig w:usb0="00000003" w:usb1="02006000" w:usb2="01000000" w:usb3="00000000" w:csb0="00000001" w:csb1="00000000"/>
  </w:font>
  <w:font w:name="DejaVu Serif">
    <w:panose1 w:val="02060603050605020204"/>
    <w:charset w:val="00"/>
    <w:family w:val="auto"/>
    <w:pitch w:val="default"/>
    <w:sig w:usb0="E50006FF" w:usb1="5200F9FB" w:usb2="0A040020" w:usb3="00000000" w:csb0="6000009F" w:csb1="DFD70000"/>
  </w:font>
  <w:font w:name="方正隶书_GBK">
    <w:panose1 w:val="02000000000000000000"/>
    <w:charset w:val="86"/>
    <w:family w:val="auto"/>
    <w:pitch w:val="default"/>
    <w:sig w:usb0="00000001" w:usb1="08000000" w:usb2="00000000" w:usb3="00000000" w:csb0="00040000" w:csb1="00000000"/>
  </w:font>
  <w:font w:name="国标宋体">
    <w:panose1 w:val="02000500000000000000"/>
    <w:charset w:val="86"/>
    <w:family w:val="auto"/>
    <w:pitch w:val="default"/>
    <w:sig w:usb0="00000001" w:usb1="28000000" w:usb2="00000000"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ascii="Calibri" w:hAnsi="Calibri" w:eastAsia="宋体" w:cs="黑体"/>
        <w:kern w:val="2"/>
        <w:sz w:val="18"/>
        <w:szCs w:val="24"/>
        <w:lang w:val="en-US" w:eastAsia="zh-CN" w:bidi="ar-SA"/>
      </w:rPr>
      <w:pict>
        <v:rect id="文本框 1" o:spid="_x0000_s2049" o:spt="1"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A01CED"/>
    <w:multiLevelType w:val="singleLevel"/>
    <w:tmpl w:val="52A01CED"/>
    <w:lvl w:ilvl="0" w:tentative="0">
      <w:start w:val="1"/>
      <w:numFmt w:val="chineseCounting"/>
      <w:suff w:val="nothing"/>
      <w:lvlText w:val="（%1）"/>
      <w:lvlJc w:val="left"/>
      <w:rPr>
        <w:rFonts w:hint="eastAsia"/>
      </w:rPr>
    </w:lvl>
  </w:abstractNum>
  <w:abstractNum w:abstractNumId="1">
    <w:nsid w:val="56F4987C"/>
    <w:multiLevelType w:val="singleLevel"/>
    <w:tmpl w:val="56F4987C"/>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NzhhNzY2YjNkNDEwMGJlOTM1YmVlYTMyNDQxNTc2MTcifQ=="/>
  </w:docVars>
  <w:rsids>
    <w:rsidRoot w:val="26962EAD"/>
    <w:rsid w:val="00237A6E"/>
    <w:rsid w:val="00576C87"/>
    <w:rsid w:val="02021298"/>
    <w:rsid w:val="0350044F"/>
    <w:rsid w:val="048A0F39"/>
    <w:rsid w:val="04AB59EC"/>
    <w:rsid w:val="06421AD0"/>
    <w:rsid w:val="066466EB"/>
    <w:rsid w:val="0687094B"/>
    <w:rsid w:val="06F128F6"/>
    <w:rsid w:val="071C673F"/>
    <w:rsid w:val="08A2174C"/>
    <w:rsid w:val="09982186"/>
    <w:rsid w:val="0B7D1118"/>
    <w:rsid w:val="0F0D5446"/>
    <w:rsid w:val="12245F40"/>
    <w:rsid w:val="134F047E"/>
    <w:rsid w:val="143C38C1"/>
    <w:rsid w:val="15DC3D8A"/>
    <w:rsid w:val="162023F7"/>
    <w:rsid w:val="168D25A7"/>
    <w:rsid w:val="178114E2"/>
    <w:rsid w:val="1853191B"/>
    <w:rsid w:val="18952E25"/>
    <w:rsid w:val="18CB5B8F"/>
    <w:rsid w:val="1AC54A87"/>
    <w:rsid w:val="1B184ECE"/>
    <w:rsid w:val="1B32070E"/>
    <w:rsid w:val="1B326196"/>
    <w:rsid w:val="1BF73705"/>
    <w:rsid w:val="1C282DBB"/>
    <w:rsid w:val="210C37AF"/>
    <w:rsid w:val="214C2609"/>
    <w:rsid w:val="224E460A"/>
    <w:rsid w:val="251610A0"/>
    <w:rsid w:val="252D0BDD"/>
    <w:rsid w:val="267442D0"/>
    <w:rsid w:val="26962EAD"/>
    <w:rsid w:val="28301F11"/>
    <w:rsid w:val="2964687E"/>
    <w:rsid w:val="2C464019"/>
    <w:rsid w:val="2D04024F"/>
    <w:rsid w:val="2E6437A1"/>
    <w:rsid w:val="2E750BE6"/>
    <w:rsid w:val="2F2F49DB"/>
    <w:rsid w:val="2F9652B7"/>
    <w:rsid w:val="2FD1355D"/>
    <w:rsid w:val="313308E4"/>
    <w:rsid w:val="31F91B2E"/>
    <w:rsid w:val="32435371"/>
    <w:rsid w:val="32513718"/>
    <w:rsid w:val="326E29E4"/>
    <w:rsid w:val="33597626"/>
    <w:rsid w:val="33D33561"/>
    <w:rsid w:val="34CE1050"/>
    <w:rsid w:val="353C420B"/>
    <w:rsid w:val="3FD94BA8"/>
    <w:rsid w:val="40C5518A"/>
    <w:rsid w:val="40E57731"/>
    <w:rsid w:val="411F5051"/>
    <w:rsid w:val="414E6B59"/>
    <w:rsid w:val="41B6321C"/>
    <w:rsid w:val="429A57F5"/>
    <w:rsid w:val="44E977E0"/>
    <w:rsid w:val="48B65D2E"/>
    <w:rsid w:val="49B02FC2"/>
    <w:rsid w:val="4A1801BE"/>
    <w:rsid w:val="4B30520E"/>
    <w:rsid w:val="50416903"/>
    <w:rsid w:val="50D211C2"/>
    <w:rsid w:val="50DD3F4D"/>
    <w:rsid w:val="512C6C41"/>
    <w:rsid w:val="520F6922"/>
    <w:rsid w:val="55297BC6"/>
    <w:rsid w:val="5570053E"/>
    <w:rsid w:val="55F91577"/>
    <w:rsid w:val="59687CCA"/>
    <w:rsid w:val="59E854E0"/>
    <w:rsid w:val="5C1B42CB"/>
    <w:rsid w:val="5EA21E76"/>
    <w:rsid w:val="61885C49"/>
    <w:rsid w:val="61FA219F"/>
    <w:rsid w:val="62647A1E"/>
    <w:rsid w:val="62E278F0"/>
    <w:rsid w:val="6370314E"/>
    <w:rsid w:val="637519F9"/>
    <w:rsid w:val="63C63A80"/>
    <w:rsid w:val="66595F40"/>
    <w:rsid w:val="66AE289E"/>
    <w:rsid w:val="66C14C03"/>
    <w:rsid w:val="678E0047"/>
    <w:rsid w:val="689C6793"/>
    <w:rsid w:val="69447CA6"/>
    <w:rsid w:val="69BF098B"/>
    <w:rsid w:val="6A225398"/>
    <w:rsid w:val="6ABD23C2"/>
    <w:rsid w:val="6C103720"/>
    <w:rsid w:val="6DE30619"/>
    <w:rsid w:val="6E1147FC"/>
    <w:rsid w:val="6E18224D"/>
    <w:rsid w:val="6E2D4E93"/>
    <w:rsid w:val="6FBC47C8"/>
    <w:rsid w:val="71114946"/>
    <w:rsid w:val="7362505B"/>
    <w:rsid w:val="75D4756A"/>
    <w:rsid w:val="75FF7CDE"/>
    <w:rsid w:val="765B7C8E"/>
    <w:rsid w:val="769D2054"/>
    <w:rsid w:val="775D3592"/>
    <w:rsid w:val="777F1E77"/>
    <w:rsid w:val="78BD3FFD"/>
    <w:rsid w:val="78EA41F2"/>
    <w:rsid w:val="79B926A7"/>
    <w:rsid w:val="7CD442F6"/>
    <w:rsid w:val="7E0724A9"/>
    <w:rsid w:val="7F8C3D10"/>
    <w:rsid w:val="BBDC3BC8"/>
    <w:rsid w:val="FABF0B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index 9"/>
    <w:next w:val="1"/>
    <w:qFormat/>
    <w:uiPriority w:val="0"/>
    <w:pPr>
      <w:widowControl w:val="0"/>
      <w:ind w:left="3360"/>
      <w:jc w:val="both"/>
    </w:pPr>
    <w:rPr>
      <w:rFonts w:ascii="Calibri" w:hAnsi="Calibri" w:eastAsia="宋体" w:cs="Times New Roman"/>
      <w:kern w:val="2"/>
      <w:sz w:val="32"/>
      <w:szCs w:val="3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line="432" w:lineRule="auto"/>
      <w:jc w:val="left"/>
    </w:pPr>
    <w:rPr>
      <w:rFonts w:ascii="宋体" w:hAnsi="宋体" w:cs="宋体"/>
      <w:kern w:val="0"/>
      <w:sz w:val="24"/>
      <w:szCs w:val="24"/>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6899</Words>
  <Characters>6990</Characters>
  <Lines>0</Lines>
  <Paragraphs>0</Paragraphs>
  <TotalTime>0</TotalTime>
  <ScaleCrop>false</ScaleCrop>
  <LinksUpToDate>false</LinksUpToDate>
  <CharactersWithSpaces>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2021-07-23T19:50:00Z</dcterms:created>
  <dc:creator>lenove</dc:creator>
  <cp:lastModifiedBy>uos</cp:lastModifiedBy>
  <cp:lastPrinted>2026-07-14T15:02:00Z</cp:lastPrinted>
  <dcterms:modified xsi:type="dcterms:W3CDTF">2026-07-14T16:00:29Z</dcterms:modified>
  <dc:title>康巴什区财政局关于征求《康巴什区国有资本经营预算管理办法》意见建议的公告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CEEE21696419429BB25540778131E70E_13</vt:lpwstr>
  </property>
  <property fmtid="{D5CDD505-2E9C-101B-9397-08002B2CF9AE}" pid="4" name="KSOTemplateDocerSaveRecord">
    <vt:lpwstr>eyJoZGlkIjoiOGU3OGNhMWE5MDA1MWJkYWQwYmQ2ZTdjMmRhNzQyOTEiLCJ1c2VySWQiOiIzMzE3NTA5NzcifQ==</vt:lpwstr>
  </property>
</Properties>
</file>