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DF8E4" w14:textId="77777777" w:rsidR="00622EE7" w:rsidRDefault="00622EE7">
      <w:pPr>
        <w:jc w:val="center"/>
        <w:rPr>
          <w:rFonts w:eastAsia="黑体"/>
          <w:sz w:val="36"/>
          <w:szCs w:val="48"/>
        </w:rPr>
      </w:pPr>
    </w:p>
    <w:p w14:paraId="6A020F67" w14:textId="77777777" w:rsidR="00622EE7" w:rsidRDefault="00E60909">
      <w:pPr>
        <w:jc w:val="center"/>
        <w:rPr>
          <w:rFonts w:eastAsia="黑体"/>
          <w:sz w:val="36"/>
          <w:szCs w:val="48"/>
        </w:rPr>
      </w:pPr>
      <w:r>
        <w:rPr>
          <w:rFonts w:eastAsia="黑体" w:hint="eastAsia"/>
          <w:sz w:val="36"/>
          <w:szCs w:val="48"/>
        </w:rPr>
        <w:t>鄂尔多斯市康巴什区技术导则</w:t>
      </w:r>
    </w:p>
    <w:p w14:paraId="6C15D4AE" w14:textId="77777777" w:rsidR="00622EE7" w:rsidRDefault="00622EE7">
      <w:pPr>
        <w:pBdr>
          <w:bottom w:val="single" w:sz="6" w:space="1" w:color="auto"/>
        </w:pBdr>
        <w:jc w:val="center"/>
        <w:rPr>
          <w:rFonts w:eastAsia="黑体"/>
          <w:sz w:val="18"/>
          <w:szCs w:val="48"/>
        </w:rPr>
      </w:pPr>
    </w:p>
    <w:p w14:paraId="1C8D177E" w14:textId="77777777" w:rsidR="00622EE7" w:rsidRDefault="00622EE7">
      <w:pPr>
        <w:jc w:val="center"/>
        <w:rPr>
          <w:rFonts w:eastAsia="黑体"/>
          <w:sz w:val="48"/>
          <w:szCs w:val="48"/>
        </w:rPr>
      </w:pPr>
    </w:p>
    <w:p w14:paraId="6BCAEF0C" w14:textId="77777777" w:rsidR="00622EE7" w:rsidRDefault="00E60909">
      <w:pPr>
        <w:jc w:val="center"/>
        <w:rPr>
          <w:rFonts w:eastAsia="黑体"/>
          <w:sz w:val="48"/>
          <w:szCs w:val="48"/>
        </w:rPr>
      </w:pPr>
      <w:r>
        <w:rPr>
          <w:rFonts w:eastAsia="黑体" w:hint="eastAsia"/>
          <w:sz w:val="48"/>
          <w:szCs w:val="48"/>
        </w:rPr>
        <w:t>康巴什区高品质住宅小区建设技术导则</w:t>
      </w:r>
    </w:p>
    <w:p w14:paraId="63419AFD" w14:textId="77777777" w:rsidR="00622EE7" w:rsidRDefault="00E60909">
      <w:pPr>
        <w:jc w:val="center"/>
        <w:rPr>
          <w:rFonts w:ascii="Times New Roman" w:hAnsi="Times New Roman"/>
          <w:sz w:val="32"/>
        </w:rPr>
      </w:pPr>
      <w:r>
        <w:rPr>
          <w:rFonts w:ascii="Times New Roman" w:hAnsi="Times New Roman"/>
          <w:sz w:val="32"/>
        </w:rPr>
        <w:t xml:space="preserve">Technical Guidelines for the Construction of </w:t>
      </w:r>
    </w:p>
    <w:p w14:paraId="66E3D105" w14:textId="77777777" w:rsidR="00622EE7" w:rsidRDefault="00E60909">
      <w:pPr>
        <w:jc w:val="center"/>
        <w:rPr>
          <w:rFonts w:ascii="Times New Roman" w:eastAsia="黑体" w:hAnsi="Times New Roman"/>
          <w:sz w:val="56"/>
          <w:szCs w:val="48"/>
        </w:rPr>
      </w:pPr>
      <w:r>
        <w:rPr>
          <w:rFonts w:ascii="Times New Roman" w:hAnsi="Times New Roman"/>
          <w:sz w:val="32"/>
        </w:rPr>
        <w:t xml:space="preserve">High-Quality Communities in </w:t>
      </w:r>
      <w:proofErr w:type="spellStart"/>
      <w:r>
        <w:rPr>
          <w:rFonts w:ascii="Times New Roman" w:hAnsi="Times New Roman"/>
          <w:sz w:val="32"/>
        </w:rPr>
        <w:t>Kangbashi</w:t>
      </w:r>
      <w:proofErr w:type="spellEnd"/>
      <w:r>
        <w:rPr>
          <w:rFonts w:ascii="Times New Roman" w:hAnsi="Times New Roman"/>
          <w:sz w:val="32"/>
        </w:rPr>
        <w:t xml:space="preserve"> District</w:t>
      </w:r>
    </w:p>
    <w:p w14:paraId="4CD6A959" w14:textId="77777777" w:rsidR="00622EE7" w:rsidRDefault="00E60909">
      <w:pPr>
        <w:jc w:val="center"/>
        <w:rPr>
          <w:rFonts w:eastAsia="黑体"/>
          <w:sz w:val="48"/>
          <w:szCs w:val="48"/>
        </w:rPr>
      </w:pPr>
      <w:r>
        <w:rPr>
          <w:rFonts w:eastAsia="黑体" w:hint="eastAsia"/>
          <w:sz w:val="48"/>
          <w:szCs w:val="48"/>
        </w:rPr>
        <w:t>（</w:t>
      </w:r>
      <w:r>
        <w:rPr>
          <w:rFonts w:eastAsia="黑体" w:hint="eastAsia"/>
          <w:sz w:val="48"/>
          <w:szCs w:val="48"/>
        </w:rPr>
        <w:t>2</w:t>
      </w:r>
      <w:r>
        <w:rPr>
          <w:rFonts w:eastAsia="黑体"/>
          <w:sz w:val="48"/>
          <w:szCs w:val="48"/>
        </w:rPr>
        <w:t>025</w:t>
      </w:r>
      <w:r>
        <w:rPr>
          <w:rFonts w:eastAsia="黑体" w:hint="eastAsia"/>
          <w:sz w:val="48"/>
          <w:szCs w:val="48"/>
        </w:rPr>
        <w:t>第一次修订版）</w:t>
      </w:r>
    </w:p>
    <w:p w14:paraId="622B90D3" w14:textId="77777777" w:rsidR="00622EE7" w:rsidRDefault="00622EE7">
      <w:pPr>
        <w:jc w:val="center"/>
        <w:rPr>
          <w:rFonts w:eastAsia="黑体"/>
          <w:sz w:val="48"/>
          <w:szCs w:val="48"/>
        </w:rPr>
      </w:pPr>
    </w:p>
    <w:p w14:paraId="3C5FD228" w14:textId="77777777" w:rsidR="00622EE7" w:rsidRDefault="00622EE7">
      <w:pPr>
        <w:jc w:val="center"/>
        <w:rPr>
          <w:rFonts w:eastAsia="黑体"/>
          <w:sz w:val="48"/>
          <w:szCs w:val="48"/>
        </w:rPr>
      </w:pPr>
    </w:p>
    <w:p w14:paraId="430E2AC3" w14:textId="77777777" w:rsidR="00622EE7" w:rsidRDefault="00622EE7">
      <w:pPr>
        <w:jc w:val="center"/>
        <w:rPr>
          <w:rFonts w:eastAsia="黑体"/>
          <w:sz w:val="48"/>
          <w:szCs w:val="48"/>
        </w:rPr>
      </w:pPr>
    </w:p>
    <w:p w14:paraId="118B59B4" w14:textId="77777777" w:rsidR="00622EE7" w:rsidRDefault="00622EE7">
      <w:pPr>
        <w:jc w:val="center"/>
        <w:rPr>
          <w:rFonts w:eastAsia="黑体"/>
          <w:sz w:val="48"/>
          <w:szCs w:val="48"/>
        </w:rPr>
      </w:pPr>
    </w:p>
    <w:p w14:paraId="29FD0038" w14:textId="77777777" w:rsidR="00622EE7" w:rsidRDefault="00622EE7">
      <w:pPr>
        <w:jc w:val="center"/>
        <w:rPr>
          <w:rFonts w:eastAsia="黑体"/>
          <w:sz w:val="48"/>
          <w:szCs w:val="48"/>
        </w:rPr>
      </w:pPr>
    </w:p>
    <w:p w14:paraId="69FE362A" w14:textId="77777777" w:rsidR="00622EE7" w:rsidRDefault="00622EE7">
      <w:pPr>
        <w:jc w:val="center"/>
        <w:rPr>
          <w:rFonts w:eastAsia="黑体"/>
          <w:sz w:val="48"/>
          <w:szCs w:val="48"/>
        </w:rPr>
      </w:pPr>
    </w:p>
    <w:p w14:paraId="5870D095" w14:textId="77777777" w:rsidR="00622EE7" w:rsidRDefault="00622EE7">
      <w:pPr>
        <w:jc w:val="center"/>
        <w:rPr>
          <w:rFonts w:eastAsia="黑体"/>
          <w:sz w:val="48"/>
          <w:szCs w:val="48"/>
        </w:rPr>
      </w:pPr>
    </w:p>
    <w:p w14:paraId="7AFED079" w14:textId="77777777" w:rsidR="00622EE7" w:rsidRDefault="00622EE7">
      <w:pPr>
        <w:rPr>
          <w:rFonts w:eastAsia="黑体"/>
          <w:sz w:val="40"/>
          <w:szCs w:val="48"/>
        </w:rPr>
      </w:pPr>
    </w:p>
    <w:p w14:paraId="1C90A4D3" w14:textId="77777777" w:rsidR="00622EE7" w:rsidRDefault="00622EE7">
      <w:pPr>
        <w:rPr>
          <w:rFonts w:eastAsia="黑体"/>
          <w:sz w:val="40"/>
          <w:szCs w:val="48"/>
        </w:rPr>
      </w:pPr>
    </w:p>
    <w:p w14:paraId="740FF7A9" w14:textId="77777777" w:rsidR="00622EE7" w:rsidRDefault="00622EE7">
      <w:pPr>
        <w:rPr>
          <w:rFonts w:eastAsia="黑体"/>
          <w:sz w:val="40"/>
          <w:szCs w:val="48"/>
        </w:rPr>
      </w:pPr>
    </w:p>
    <w:p w14:paraId="239CF366" w14:textId="77777777" w:rsidR="00622EE7" w:rsidRDefault="00E60909">
      <w:pPr>
        <w:jc w:val="center"/>
        <w:rPr>
          <w:rFonts w:ascii="黑体" w:eastAsia="黑体" w:hAnsi="黑体"/>
          <w:sz w:val="28"/>
          <w:szCs w:val="48"/>
        </w:rPr>
      </w:pPr>
      <w:r>
        <w:rPr>
          <w:rFonts w:ascii="黑体" w:eastAsia="黑体" w:hAnsi="黑体" w:hint="eastAsia"/>
          <w:sz w:val="28"/>
          <w:szCs w:val="48"/>
        </w:rPr>
        <w:t>鄂尔多斯市康巴什区人民政府</w:t>
      </w:r>
    </w:p>
    <w:p w14:paraId="57326433" w14:textId="77777777" w:rsidR="00622EE7" w:rsidRDefault="00E60909">
      <w:pPr>
        <w:jc w:val="center"/>
        <w:rPr>
          <w:rFonts w:ascii="黑体" w:eastAsia="黑体" w:hAnsi="黑体"/>
          <w:sz w:val="28"/>
          <w:szCs w:val="48"/>
        </w:rPr>
      </w:pPr>
      <w:r>
        <w:rPr>
          <w:rFonts w:ascii="黑体" w:eastAsia="黑体" w:hAnsi="黑体" w:hint="eastAsia"/>
          <w:sz w:val="28"/>
          <w:szCs w:val="48"/>
        </w:rPr>
        <w:t>中国建筑标准设计研究院有限公司</w:t>
      </w:r>
    </w:p>
    <w:p w14:paraId="433AD1B1" w14:textId="77777777" w:rsidR="00622EE7" w:rsidRDefault="00E60909">
      <w:pPr>
        <w:jc w:val="center"/>
      </w:pPr>
      <w:r>
        <w:rPr>
          <w:rFonts w:ascii="黑体" w:eastAsia="黑体" w:hAnsi="黑体"/>
          <w:sz w:val="28"/>
          <w:szCs w:val="48"/>
        </w:rPr>
        <w:t>2025</w:t>
      </w:r>
      <w:r>
        <w:rPr>
          <w:rFonts w:ascii="黑体" w:eastAsia="黑体" w:hAnsi="黑体" w:hint="eastAsia"/>
          <w:sz w:val="28"/>
          <w:szCs w:val="48"/>
        </w:rPr>
        <w:t>年</w:t>
      </w:r>
      <w:r>
        <w:rPr>
          <w:rFonts w:ascii="黑体" w:eastAsia="黑体" w:hAnsi="黑体" w:hint="eastAsia"/>
          <w:sz w:val="28"/>
          <w:szCs w:val="48"/>
        </w:rPr>
        <w:t>1</w:t>
      </w:r>
      <w:r>
        <w:rPr>
          <w:rFonts w:ascii="黑体" w:eastAsia="黑体" w:hAnsi="黑体"/>
          <w:sz w:val="28"/>
          <w:szCs w:val="48"/>
        </w:rPr>
        <w:t>0</w:t>
      </w:r>
      <w:r>
        <w:rPr>
          <w:rFonts w:ascii="黑体" w:eastAsia="黑体" w:hAnsi="黑体" w:hint="eastAsia"/>
          <w:sz w:val="28"/>
          <w:szCs w:val="48"/>
        </w:rPr>
        <w:t>月</w:t>
      </w:r>
      <w:r>
        <w:rPr>
          <w:rFonts w:ascii="黑体" w:eastAsia="黑体" w:hAnsi="黑体" w:hint="eastAsia"/>
          <w:sz w:val="28"/>
          <w:szCs w:val="48"/>
        </w:rPr>
        <w:t>1</w:t>
      </w:r>
      <w:r>
        <w:rPr>
          <w:rFonts w:ascii="黑体" w:eastAsia="黑体" w:hAnsi="黑体" w:hint="eastAsia"/>
          <w:sz w:val="28"/>
          <w:szCs w:val="48"/>
        </w:rPr>
        <w:t>日</w:t>
      </w:r>
      <w:r>
        <w:br w:type="page"/>
      </w:r>
    </w:p>
    <w:p w14:paraId="428B52FC" w14:textId="77777777" w:rsidR="00622EE7" w:rsidRDefault="00E60909">
      <w:pPr>
        <w:tabs>
          <w:tab w:val="center" w:pos="4252"/>
          <w:tab w:val="left" w:pos="7670"/>
        </w:tabs>
        <w:spacing w:beforeLines="150" w:before="489" w:afterLines="150" w:after="489"/>
        <w:jc w:val="left"/>
        <w:rPr>
          <w:rFonts w:ascii="Times New Roman" w:eastAsia="黑体" w:hAnsi="Times New Roman"/>
          <w:sz w:val="32"/>
          <w:szCs w:val="32"/>
        </w:rPr>
      </w:pPr>
      <w:r>
        <w:rPr>
          <w:rFonts w:ascii="Times New Roman" w:eastAsia="黑体" w:hAnsi="Times New Roman"/>
          <w:sz w:val="32"/>
          <w:szCs w:val="32"/>
        </w:rPr>
        <w:lastRenderedPageBreak/>
        <w:tab/>
      </w:r>
      <w:r>
        <w:rPr>
          <w:rFonts w:ascii="Times New Roman" w:eastAsia="黑体" w:hAnsi="Times New Roman"/>
          <w:sz w:val="32"/>
          <w:szCs w:val="32"/>
        </w:rPr>
        <w:t>前</w:t>
      </w:r>
      <w:r>
        <w:rPr>
          <w:rFonts w:ascii="Times New Roman" w:eastAsia="黑体" w:hAnsi="Times New Roman"/>
          <w:sz w:val="32"/>
          <w:szCs w:val="32"/>
        </w:rPr>
        <w:t>  </w:t>
      </w:r>
      <w:r>
        <w:rPr>
          <w:rFonts w:ascii="Times New Roman" w:eastAsia="黑体" w:hAnsi="Times New Roman"/>
          <w:sz w:val="32"/>
          <w:szCs w:val="32"/>
        </w:rPr>
        <w:t>言</w:t>
      </w:r>
      <w:r>
        <w:rPr>
          <w:rFonts w:ascii="Times New Roman" w:eastAsia="黑体" w:hAnsi="Times New Roman"/>
          <w:sz w:val="32"/>
          <w:szCs w:val="32"/>
        </w:rPr>
        <w:tab/>
      </w:r>
    </w:p>
    <w:p w14:paraId="75FB65A9" w14:textId="77777777" w:rsidR="00622EE7" w:rsidRDefault="00E60909">
      <w:pPr>
        <w:spacing w:line="360" w:lineRule="auto"/>
        <w:ind w:firstLineChars="200" w:firstLine="480"/>
        <w:rPr>
          <w:rFonts w:ascii="Times New Roman" w:hAnsi="Times New Roman"/>
        </w:rPr>
      </w:pPr>
      <w:r>
        <w:rPr>
          <w:rFonts w:ascii="Times New Roman" w:hAnsi="Times New Roman"/>
        </w:rPr>
        <w:t>为推进住房高质量发展，推进</w:t>
      </w:r>
      <w:r>
        <w:rPr>
          <w:rFonts w:ascii="Times New Roman" w:hAnsi="Times New Roman"/>
        </w:rPr>
        <w:t>“</w:t>
      </w:r>
      <w:r>
        <w:rPr>
          <w:rFonts w:ascii="Times New Roman" w:hAnsi="Times New Roman"/>
        </w:rPr>
        <w:t>好房子</w:t>
      </w:r>
      <w:r>
        <w:rPr>
          <w:rFonts w:ascii="Times New Roman" w:hAnsi="Times New Roman"/>
        </w:rPr>
        <w:t>”</w:t>
      </w:r>
      <w:r>
        <w:rPr>
          <w:rFonts w:ascii="Times New Roman" w:hAnsi="Times New Roman"/>
        </w:rPr>
        <w:t>建设，按照</w:t>
      </w:r>
      <w:r>
        <w:rPr>
          <w:rFonts w:ascii="Times New Roman" w:hAnsi="Times New Roman" w:hint="eastAsia"/>
        </w:rPr>
        <w:t>安全、舒适、绿色、智慧</w:t>
      </w:r>
      <w:r>
        <w:rPr>
          <w:rFonts w:ascii="Times New Roman" w:hAnsi="Times New Roman"/>
        </w:rPr>
        <w:t>的要求，编制组经过深入调查研究，进行了鄂尔多斯市</w:t>
      </w:r>
      <w:r>
        <w:rPr>
          <w:rFonts w:ascii="Times New Roman" w:hAnsi="Times New Roman" w:hint="eastAsia"/>
        </w:rPr>
        <w:t>康巴什区</w:t>
      </w:r>
      <w:r>
        <w:rPr>
          <w:rFonts w:ascii="Times New Roman" w:hAnsi="Times New Roman"/>
        </w:rPr>
        <w:t>典型住宅小区调研和广泛的居民调研、座谈走访，在充分了解当地情况、广泛征求意见的基础上，</w:t>
      </w:r>
      <w:r>
        <w:rPr>
          <w:rFonts w:ascii="Times New Roman" w:hAnsi="Times New Roman" w:hint="eastAsia"/>
        </w:rPr>
        <w:t>与鄂尔多斯市《高品质小区评价标准》统筹协调，</w:t>
      </w:r>
      <w:r>
        <w:rPr>
          <w:rFonts w:ascii="Times New Roman" w:hAnsi="Times New Roman"/>
        </w:rPr>
        <w:t>制定本</w:t>
      </w:r>
      <w:r>
        <w:rPr>
          <w:rFonts w:ascii="Times New Roman" w:hAnsi="Times New Roman" w:hint="eastAsia"/>
        </w:rPr>
        <w:t>导则</w:t>
      </w:r>
      <w:r>
        <w:rPr>
          <w:rFonts w:ascii="Times New Roman" w:hAnsi="Times New Roman"/>
        </w:rPr>
        <w:t>。</w:t>
      </w:r>
    </w:p>
    <w:p w14:paraId="4877F59C" w14:textId="77777777" w:rsidR="00622EE7" w:rsidRDefault="00E60909">
      <w:pPr>
        <w:spacing w:line="360" w:lineRule="auto"/>
        <w:ind w:firstLineChars="200" w:firstLine="480"/>
        <w:rPr>
          <w:rFonts w:ascii="Times New Roman" w:hAnsi="Times New Roman"/>
        </w:rPr>
      </w:pPr>
      <w:r>
        <w:rPr>
          <w:rFonts w:ascii="Times New Roman" w:hAnsi="Times New Roman"/>
        </w:rPr>
        <w:t>本</w:t>
      </w:r>
      <w:r>
        <w:rPr>
          <w:rFonts w:ascii="Times New Roman" w:hAnsi="Times New Roman" w:hint="eastAsia"/>
        </w:rPr>
        <w:t>导则</w:t>
      </w:r>
      <w:r>
        <w:rPr>
          <w:rFonts w:ascii="Times New Roman" w:hAnsi="Times New Roman"/>
        </w:rPr>
        <w:t>共分为</w:t>
      </w:r>
      <w:r>
        <w:rPr>
          <w:rFonts w:ascii="Times New Roman" w:hAnsi="Times New Roman"/>
        </w:rPr>
        <w:t>12</w:t>
      </w:r>
      <w:r>
        <w:rPr>
          <w:rFonts w:ascii="Times New Roman" w:hAnsi="Times New Roman"/>
        </w:rPr>
        <w:t>章，主要内容包括：总则</w:t>
      </w:r>
      <w:r>
        <w:rPr>
          <w:rFonts w:ascii="Times New Roman" w:hAnsi="Times New Roman" w:hint="eastAsia"/>
        </w:rPr>
        <w:t>，</w:t>
      </w:r>
      <w:r>
        <w:rPr>
          <w:rFonts w:ascii="Times New Roman" w:hAnsi="Times New Roman"/>
        </w:rPr>
        <w:t>术语</w:t>
      </w:r>
      <w:r>
        <w:rPr>
          <w:rFonts w:ascii="Times New Roman" w:hAnsi="Times New Roman" w:hint="eastAsia"/>
        </w:rPr>
        <w:t>，</w:t>
      </w:r>
      <w:r>
        <w:rPr>
          <w:rFonts w:ascii="Times New Roman" w:hAnsi="Times New Roman"/>
        </w:rPr>
        <w:t>基本规定</w:t>
      </w:r>
      <w:r>
        <w:rPr>
          <w:rFonts w:ascii="Times New Roman" w:hAnsi="Times New Roman" w:hint="eastAsia"/>
        </w:rPr>
        <w:t>，技术策划，小区规划、景观与配套，建筑设计，建筑结构，建筑材料和构造，给水排水，暖通空调，电气与智能化，运维和服务。</w:t>
      </w:r>
    </w:p>
    <w:p w14:paraId="3D164D32" w14:textId="77777777" w:rsidR="00622EE7" w:rsidRDefault="00E60909">
      <w:pPr>
        <w:spacing w:line="360" w:lineRule="auto"/>
        <w:ind w:firstLineChars="200" w:firstLine="480"/>
        <w:rPr>
          <w:rFonts w:ascii="Times New Roman" w:hAnsi="Times New Roman"/>
        </w:rPr>
      </w:pPr>
      <w:r>
        <w:rPr>
          <w:rFonts w:ascii="Times New Roman" w:hAnsi="Times New Roman"/>
        </w:rPr>
        <w:t>本</w:t>
      </w:r>
      <w:r>
        <w:rPr>
          <w:rFonts w:ascii="Times New Roman" w:hAnsi="Times New Roman" w:hint="eastAsia"/>
        </w:rPr>
        <w:t>导则</w:t>
      </w:r>
      <w:r>
        <w:rPr>
          <w:rFonts w:ascii="Times New Roman" w:hAnsi="Times New Roman"/>
        </w:rPr>
        <w:t>在使用过程中如有需要修改或补充之处，请反馈给</w:t>
      </w:r>
      <w:r>
        <w:rPr>
          <w:rFonts w:ascii="Times New Roman" w:hAnsi="Times New Roman" w:hint="eastAsia"/>
        </w:rPr>
        <w:t>编制单位</w:t>
      </w:r>
      <w:r>
        <w:rPr>
          <w:rFonts w:ascii="Times New Roman" w:hAnsi="Times New Roman"/>
        </w:rPr>
        <w:t>中国建筑标准设计研究院有限公司（地址：北京市</w:t>
      </w:r>
      <w:proofErr w:type="gramStart"/>
      <w:r>
        <w:rPr>
          <w:rFonts w:ascii="Times New Roman" w:hAnsi="Times New Roman"/>
        </w:rPr>
        <w:t>海淀区首体</w:t>
      </w:r>
      <w:proofErr w:type="gramEnd"/>
      <w:r>
        <w:rPr>
          <w:rFonts w:ascii="Times New Roman" w:hAnsi="Times New Roman"/>
        </w:rPr>
        <w:t>南路</w:t>
      </w:r>
      <w:r>
        <w:rPr>
          <w:rFonts w:ascii="Times New Roman" w:hAnsi="Times New Roman"/>
        </w:rPr>
        <w:t>9</w:t>
      </w:r>
      <w:r>
        <w:rPr>
          <w:rFonts w:ascii="Times New Roman" w:hAnsi="Times New Roman"/>
        </w:rPr>
        <w:t>号主语国际</w:t>
      </w:r>
      <w:r>
        <w:rPr>
          <w:rFonts w:ascii="Times New Roman" w:hAnsi="Times New Roman"/>
        </w:rPr>
        <w:t>5</w:t>
      </w:r>
      <w:r>
        <w:rPr>
          <w:rFonts w:ascii="Times New Roman" w:hAnsi="Times New Roman"/>
        </w:rPr>
        <w:t>号楼</w:t>
      </w:r>
      <w:r>
        <w:rPr>
          <w:rFonts w:ascii="Times New Roman" w:hAnsi="Times New Roman"/>
        </w:rPr>
        <w:t>7</w:t>
      </w:r>
      <w:r>
        <w:rPr>
          <w:rFonts w:ascii="Times New Roman" w:hAnsi="Times New Roman"/>
        </w:rPr>
        <w:t>层，邮编：</w:t>
      </w:r>
      <w:r>
        <w:rPr>
          <w:rFonts w:ascii="Times New Roman" w:hAnsi="Times New Roman"/>
        </w:rPr>
        <w:t>100048</w:t>
      </w:r>
      <w:r>
        <w:rPr>
          <w:rFonts w:ascii="Times New Roman" w:hAnsi="Times New Roman"/>
        </w:rPr>
        <w:t>）。</w:t>
      </w:r>
    </w:p>
    <w:p w14:paraId="1B9C43BE" w14:textId="77777777" w:rsidR="00622EE7" w:rsidRDefault="00E60909">
      <w:pPr>
        <w:spacing w:line="360" w:lineRule="auto"/>
        <w:ind w:firstLineChars="200" w:firstLine="560"/>
        <w:rPr>
          <w:rFonts w:ascii="Times New Roman" w:hAnsi="Times New Roman"/>
        </w:rPr>
      </w:pPr>
      <w:r>
        <w:rPr>
          <w:rFonts w:ascii="黑体" w:eastAsia="黑体" w:hAnsi="黑体" w:hint="eastAsia"/>
          <w:spacing w:val="20"/>
        </w:rPr>
        <w:t>指导单位：</w:t>
      </w:r>
      <w:r>
        <w:rPr>
          <w:rFonts w:ascii="Times New Roman" w:hAnsi="Times New Roman" w:hint="eastAsia"/>
        </w:rPr>
        <w:t>鄂尔多斯市康巴什区人民政府</w:t>
      </w:r>
    </w:p>
    <w:p w14:paraId="54DF9BED" w14:textId="77777777" w:rsidR="00622EE7" w:rsidRDefault="00E60909">
      <w:pPr>
        <w:spacing w:line="360" w:lineRule="auto"/>
        <w:ind w:firstLineChars="200" w:firstLine="560"/>
        <w:rPr>
          <w:rFonts w:ascii="Times New Roman" w:hAnsi="Times New Roman"/>
        </w:rPr>
      </w:pPr>
      <w:r>
        <w:rPr>
          <w:rFonts w:ascii="黑体" w:eastAsia="黑体" w:hAnsi="黑体" w:hint="eastAsia"/>
          <w:spacing w:val="20"/>
        </w:rPr>
        <w:t>主编单位：</w:t>
      </w:r>
      <w:r>
        <w:rPr>
          <w:rFonts w:ascii="Times New Roman" w:hAnsi="Times New Roman" w:hint="eastAsia"/>
        </w:rPr>
        <w:t>中国建筑标准设计研究院有限公司</w:t>
      </w:r>
    </w:p>
    <w:p w14:paraId="216DAD04" w14:textId="77777777" w:rsidR="00622EE7" w:rsidRDefault="00E60909">
      <w:pPr>
        <w:spacing w:line="360" w:lineRule="auto"/>
        <w:ind w:firstLineChars="200" w:firstLine="560"/>
        <w:rPr>
          <w:rFonts w:ascii="Times New Roman" w:hAnsi="Times New Roman"/>
        </w:rPr>
      </w:pPr>
      <w:r>
        <w:rPr>
          <w:rFonts w:ascii="黑体" w:eastAsia="黑体" w:hAnsi="黑体" w:hint="eastAsia"/>
          <w:spacing w:val="20"/>
        </w:rPr>
        <w:t>参编单位：</w:t>
      </w:r>
      <w:r>
        <w:rPr>
          <w:rFonts w:ascii="Times New Roman" w:hAnsi="Times New Roman" w:hint="eastAsia"/>
        </w:rPr>
        <w:t>鄂尔多斯市康巴什区住房和城乡建设局</w:t>
      </w:r>
    </w:p>
    <w:p w14:paraId="079324BC" w14:textId="77777777" w:rsidR="00622EE7" w:rsidRDefault="00E60909">
      <w:pPr>
        <w:spacing w:line="360" w:lineRule="auto"/>
        <w:ind w:firstLineChars="800" w:firstLine="1920"/>
        <w:rPr>
          <w:rFonts w:ascii="Times New Roman" w:hAnsi="Times New Roman"/>
        </w:rPr>
      </w:pPr>
      <w:r>
        <w:rPr>
          <w:rFonts w:ascii="Times New Roman" w:hAnsi="Times New Roman" w:hint="eastAsia"/>
        </w:rPr>
        <w:t>鄂尔多斯市自然资源局康巴什区分局</w:t>
      </w:r>
    </w:p>
    <w:p w14:paraId="32F4EF34" w14:textId="77777777" w:rsidR="00622EE7" w:rsidRDefault="00E60909">
      <w:pPr>
        <w:spacing w:line="360" w:lineRule="auto"/>
        <w:ind w:firstLineChars="200" w:firstLine="560"/>
        <w:rPr>
          <w:rFonts w:ascii="宋体" w:hAnsi="宋体"/>
          <w:spacing w:val="20"/>
        </w:rPr>
      </w:pPr>
      <w:r>
        <w:rPr>
          <w:rFonts w:ascii="黑体" w:eastAsia="黑体" w:hAnsi="黑体" w:hint="eastAsia"/>
          <w:spacing w:val="20"/>
        </w:rPr>
        <w:t>主要起草人：</w:t>
      </w:r>
      <w:r>
        <w:rPr>
          <w:rFonts w:ascii="宋体" w:hAnsi="宋体" w:hint="eastAsia"/>
          <w:spacing w:val="20"/>
        </w:rPr>
        <w:t>苗</w:t>
      </w:r>
      <w:r>
        <w:rPr>
          <w:rFonts w:ascii="宋体" w:hAnsi="宋体" w:hint="eastAsia"/>
          <w:spacing w:val="20"/>
        </w:rPr>
        <w:t xml:space="preserve">  </w:t>
      </w:r>
      <w:r>
        <w:rPr>
          <w:rFonts w:ascii="宋体" w:hAnsi="宋体" w:hint="eastAsia"/>
          <w:spacing w:val="20"/>
        </w:rPr>
        <w:t>青</w:t>
      </w:r>
      <w:r>
        <w:rPr>
          <w:rFonts w:ascii="宋体" w:hAnsi="宋体" w:hint="eastAsia"/>
          <w:spacing w:val="20"/>
        </w:rPr>
        <w:t xml:space="preserve"> </w:t>
      </w:r>
      <w:r>
        <w:rPr>
          <w:rFonts w:ascii="宋体" w:hAnsi="宋体"/>
          <w:spacing w:val="20"/>
        </w:rPr>
        <w:t xml:space="preserve"> </w:t>
      </w:r>
      <w:r>
        <w:rPr>
          <w:rFonts w:ascii="宋体" w:hAnsi="宋体" w:hint="eastAsia"/>
          <w:spacing w:val="20"/>
        </w:rPr>
        <w:t>崔海英</w:t>
      </w:r>
      <w:r>
        <w:rPr>
          <w:rFonts w:ascii="宋体" w:hAnsi="宋体" w:hint="eastAsia"/>
          <w:spacing w:val="20"/>
        </w:rPr>
        <w:t xml:space="preserve"> </w:t>
      </w:r>
      <w:r>
        <w:rPr>
          <w:rFonts w:ascii="宋体" w:hAnsi="宋体"/>
          <w:spacing w:val="20"/>
        </w:rPr>
        <w:t xml:space="preserve"> </w:t>
      </w:r>
      <w:r>
        <w:rPr>
          <w:rFonts w:ascii="宋体" w:hAnsi="宋体" w:hint="eastAsia"/>
          <w:spacing w:val="20"/>
        </w:rPr>
        <w:t>侯思雨</w:t>
      </w:r>
      <w:r>
        <w:rPr>
          <w:rFonts w:ascii="宋体" w:hAnsi="宋体" w:hint="eastAsia"/>
          <w:spacing w:val="20"/>
        </w:rPr>
        <w:t xml:space="preserve"> </w:t>
      </w:r>
      <w:r>
        <w:rPr>
          <w:rFonts w:ascii="宋体" w:hAnsi="宋体"/>
          <w:spacing w:val="20"/>
        </w:rPr>
        <w:t xml:space="preserve"> </w:t>
      </w:r>
      <w:r>
        <w:rPr>
          <w:rFonts w:ascii="宋体" w:hAnsi="宋体" w:hint="eastAsia"/>
          <w:spacing w:val="20"/>
        </w:rPr>
        <w:t>刘莉馨</w:t>
      </w:r>
      <w:r>
        <w:rPr>
          <w:rFonts w:ascii="宋体" w:hAnsi="宋体" w:hint="eastAsia"/>
          <w:spacing w:val="20"/>
        </w:rPr>
        <w:t xml:space="preserve"> </w:t>
      </w:r>
      <w:r>
        <w:rPr>
          <w:rFonts w:ascii="宋体" w:hAnsi="宋体"/>
          <w:spacing w:val="20"/>
        </w:rPr>
        <w:t xml:space="preserve"> </w:t>
      </w:r>
      <w:r>
        <w:rPr>
          <w:rFonts w:ascii="宋体" w:hAnsi="宋体" w:hint="eastAsia"/>
          <w:spacing w:val="20"/>
        </w:rPr>
        <w:t>毕姗霞</w:t>
      </w:r>
    </w:p>
    <w:p w14:paraId="79896C7D" w14:textId="77777777" w:rsidR="00622EE7" w:rsidRDefault="00E60909">
      <w:pPr>
        <w:spacing w:line="360" w:lineRule="auto"/>
        <w:ind w:firstLineChars="800" w:firstLine="2240"/>
        <w:rPr>
          <w:rFonts w:ascii="宋体" w:hAnsi="宋体"/>
          <w:spacing w:val="20"/>
        </w:rPr>
      </w:pPr>
      <w:r>
        <w:rPr>
          <w:rFonts w:ascii="宋体" w:hAnsi="宋体" w:hint="eastAsia"/>
          <w:spacing w:val="20"/>
        </w:rPr>
        <w:t>王</w:t>
      </w:r>
      <w:r>
        <w:rPr>
          <w:rFonts w:ascii="宋体" w:hAnsi="宋体" w:hint="eastAsia"/>
          <w:spacing w:val="20"/>
        </w:rPr>
        <w:t xml:space="preserve"> </w:t>
      </w:r>
      <w:r>
        <w:rPr>
          <w:rFonts w:ascii="宋体" w:hAnsi="宋体"/>
          <w:spacing w:val="20"/>
        </w:rPr>
        <w:t xml:space="preserve"> </w:t>
      </w:r>
      <w:r>
        <w:rPr>
          <w:rFonts w:ascii="宋体" w:hAnsi="宋体" w:hint="eastAsia"/>
          <w:spacing w:val="20"/>
        </w:rPr>
        <w:t>赞</w:t>
      </w:r>
      <w:r>
        <w:rPr>
          <w:rFonts w:ascii="宋体" w:hAnsi="宋体" w:hint="eastAsia"/>
          <w:spacing w:val="20"/>
        </w:rPr>
        <w:t xml:space="preserve"> </w:t>
      </w:r>
      <w:r>
        <w:rPr>
          <w:rFonts w:ascii="宋体" w:hAnsi="宋体"/>
          <w:spacing w:val="20"/>
        </w:rPr>
        <w:t xml:space="preserve"> </w:t>
      </w:r>
      <w:r>
        <w:rPr>
          <w:rFonts w:ascii="宋体" w:hAnsi="宋体" w:hint="eastAsia"/>
          <w:spacing w:val="20"/>
        </w:rPr>
        <w:t>邵占华</w:t>
      </w:r>
      <w:r>
        <w:rPr>
          <w:rFonts w:ascii="宋体" w:hAnsi="宋体" w:hint="eastAsia"/>
          <w:spacing w:val="20"/>
        </w:rPr>
        <w:t xml:space="preserve"> </w:t>
      </w:r>
      <w:r>
        <w:rPr>
          <w:rFonts w:ascii="宋体" w:hAnsi="宋体"/>
          <w:spacing w:val="20"/>
        </w:rPr>
        <w:t xml:space="preserve"> </w:t>
      </w:r>
      <w:r>
        <w:rPr>
          <w:rFonts w:ascii="宋体" w:hAnsi="宋体" w:hint="eastAsia"/>
          <w:spacing w:val="20"/>
        </w:rPr>
        <w:t>杜丽娟</w:t>
      </w:r>
      <w:r>
        <w:rPr>
          <w:rFonts w:ascii="宋体" w:hAnsi="宋体" w:hint="eastAsia"/>
          <w:spacing w:val="20"/>
        </w:rPr>
        <w:t xml:space="preserve"> </w:t>
      </w:r>
      <w:r>
        <w:rPr>
          <w:rFonts w:ascii="宋体" w:hAnsi="宋体"/>
          <w:spacing w:val="20"/>
        </w:rPr>
        <w:t xml:space="preserve"> </w:t>
      </w:r>
      <w:r>
        <w:rPr>
          <w:rFonts w:ascii="宋体" w:hAnsi="宋体" w:hint="eastAsia"/>
          <w:spacing w:val="20"/>
        </w:rPr>
        <w:t>李小鹏</w:t>
      </w:r>
      <w:r>
        <w:rPr>
          <w:rFonts w:ascii="宋体" w:hAnsi="宋体" w:hint="eastAsia"/>
          <w:spacing w:val="20"/>
        </w:rPr>
        <w:t xml:space="preserve"> </w:t>
      </w:r>
      <w:r>
        <w:rPr>
          <w:rFonts w:ascii="宋体" w:hAnsi="宋体"/>
          <w:spacing w:val="20"/>
        </w:rPr>
        <w:t xml:space="preserve"> </w:t>
      </w:r>
      <w:r>
        <w:rPr>
          <w:rFonts w:ascii="宋体" w:hAnsi="宋体" w:hint="eastAsia"/>
          <w:spacing w:val="20"/>
        </w:rPr>
        <w:t>张黎明</w:t>
      </w:r>
    </w:p>
    <w:p w14:paraId="2813E602" w14:textId="77777777" w:rsidR="00622EE7" w:rsidRDefault="00E60909">
      <w:pPr>
        <w:spacing w:line="360" w:lineRule="auto"/>
        <w:ind w:firstLineChars="800" w:firstLine="2240"/>
        <w:rPr>
          <w:rFonts w:ascii="宋体" w:hAnsi="宋体"/>
          <w:spacing w:val="20"/>
        </w:rPr>
      </w:pPr>
      <w:r>
        <w:rPr>
          <w:rFonts w:ascii="宋体" w:hAnsi="宋体" w:hint="eastAsia"/>
          <w:spacing w:val="20"/>
        </w:rPr>
        <w:t>（以下按姓氏笔画排序）</w:t>
      </w:r>
    </w:p>
    <w:p w14:paraId="1E6B921A" w14:textId="77777777" w:rsidR="00622EE7" w:rsidRDefault="00E60909">
      <w:pPr>
        <w:spacing w:line="360" w:lineRule="auto"/>
        <w:ind w:firstLineChars="800" w:firstLine="2240"/>
        <w:rPr>
          <w:rFonts w:ascii="宋体" w:hAnsi="宋体"/>
          <w:spacing w:val="20"/>
        </w:rPr>
      </w:pPr>
      <w:r>
        <w:rPr>
          <w:rFonts w:ascii="宋体" w:hAnsi="宋体" w:hint="eastAsia"/>
          <w:spacing w:val="20"/>
        </w:rPr>
        <w:t>王相龙</w:t>
      </w:r>
      <w:r>
        <w:rPr>
          <w:rFonts w:ascii="宋体" w:hAnsi="宋体" w:hint="eastAsia"/>
          <w:spacing w:val="20"/>
        </w:rPr>
        <w:t xml:space="preserve"> </w:t>
      </w:r>
      <w:r>
        <w:rPr>
          <w:rFonts w:ascii="宋体" w:hAnsi="宋体"/>
          <w:spacing w:val="20"/>
        </w:rPr>
        <w:t xml:space="preserve"> </w:t>
      </w:r>
      <w:r>
        <w:rPr>
          <w:rFonts w:ascii="宋体" w:hAnsi="宋体" w:hint="eastAsia"/>
          <w:spacing w:val="20"/>
        </w:rPr>
        <w:t>王海霞</w:t>
      </w:r>
      <w:r>
        <w:rPr>
          <w:rFonts w:ascii="宋体" w:hAnsi="宋体" w:hint="eastAsia"/>
          <w:spacing w:val="20"/>
        </w:rPr>
        <w:t xml:space="preserve"> </w:t>
      </w:r>
      <w:r>
        <w:rPr>
          <w:rFonts w:ascii="宋体" w:hAnsi="宋体"/>
          <w:spacing w:val="20"/>
        </w:rPr>
        <w:t xml:space="preserve"> </w:t>
      </w:r>
      <w:r>
        <w:rPr>
          <w:rFonts w:ascii="宋体" w:hAnsi="宋体" w:hint="eastAsia"/>
          <w:spacing w:val="20"/>
        </w:rPr>
        <w:t>王</w:t>
      </w:r>
      <w:r>
        <w:rPr>
          <w:rFonts w:ascii="宋体" w:hAnsi="宋体" w:hint="eastAsia"/>
          <w:spacing w:val="20"/>
        </w:rPr>
        <w:t xml:space="preserve"> </w:t>
      </w:r>
      <w:r>
        <w:rPr>
          <w:rFonts w:ascii="宋体" w:hAnsi="宋体"/>
          <w:spacing w:val="20"/>
        </w:rPr>
        <w:t xml:space="preserve"> </w:t>
      </w:r>
      <w:r>
        <w:rPr>
          <w:rFonts w:ascii="宋体" w:hAnsi="宋体" w:hint="eastAsia"/>
          <w:spacing w:val="20"/>
        </w:rPr>
        <w:t>强</w:t>
      </w:r>
      <w:r>
        <w:rPr>
          <w:rFonts w:ascii="宋体" w:hAnsi="宋体" w:hint="eastAsia"/>
          <w:spacing w:val="20"/>
        </w:rPr>
        <w:t xml:space="preserve"> </w:t>
      </w:r>
      <w:r>
        <w:rPr>
          <w:rFonts w:ascii="宋体" w:hAnsi="宋体"/>
          <w:spacing w:val="20"/>
        </w:rPr>
        <w:t xml:space="preserve"> </w:t>
      </w:r>
      <w:r>
        <w:rPr>
          <w:rFonts w:ascii="宋体" w:hAnsi="宋体" w:hint="eastAsia"/>
          <w:spacing w:val="20"/>
        </w:rPr>
        <w:t>王瑞祥</w:t>
      </w:r>
      <w:r>
        <w:rPr>
          <w:rFonts w:ascii="宋体" w:hAnsi="宋体" w:hint="eastAsia"/>
          <w:spacing w:val="20"/>
        </w:rPr>
        <w:t xml:space="preserve"> </w:t>
      </w:r>
      <w:r>
        <w:rPr>
          <w:rFonts w:ascii="宋体" w:hAnsi="宋体"/>
          <w:spacing w:val="20"/>
        </w:rPr>
        <w:t xml:space="preserve"> </w:t>
      </w:r>
    </w:p>
    <w:p w14:paraId="1FD0ABD7" w14:textId="77777777" w:rsidR="00622EE7" w:rsidRDefault="00E60909">
      <w:pPr>
        <w:spacing w:line="360" w:lineRule="auto"/>
        <w:ind w:firstLineChars="800" w:firstLine="2240"/>
        <w:rPr>
          <w:rFonts w:ascii="宋体" w:hAnsi="宋体"/>
          <w:spacing w:val="20"/>
        </w:rPr>
      </w:pPr>
      <w:r>
        <w:rPr>
          <w:rFonts w:ascii="宋体" w:hAnsi="宋体" w:hint="eastAsia"/>
          <w:spacing w:val="20"/>
        </w:rPr>
        <w:t>刘</w:t>
      </w:r>
      <w:r>
        <w:rPr>
          <w:rFonts w:ascii="宋体" w:hAnsi="宋体" w:hint="eastAsia"/>
          <w:spacing w:val="20"/>
        </w:rPr>
        <w:t xml:space="preserve"> </w:t>
      </w:r>
      <w:r>
        <w:rPr>
          <w:rFonts w:ascii="宋体" w:hAnsi="宋体"/>
          <w:spacing w:val="20"/>
        </w:rPr>
        <w:t xml:space="preserve"> </w:t>
      </w:r>
      <w:r>
        <w:rPr>
          <w:rFonts w:ascii="宋体" w:hAnsi="宋体" w:hint="eastAsia"/>
          <w:spacing w:val="20"/>
        </w:rPr>
        <w:t>毅</w:t>
      </w:r>
      <w:r>
        <w:rPr>
          <w:rFonts w:ascii="宋体" w:hAnsi="宋体" w:hint="eastAsia"/>
          <w:spacing w:val="20"/>
        </w:rPr>
        <w:t xml:space="preserve"> </w:t>
      </w:r>
      <w:r>
        <w:rPr>
          <w:rFonts w:ascii="宋体" w:hAnsi="宋体"/>
          <w:spacing w:val="20"/>
        </w:rPr>
        <w:t xml:space="preserve"> </w:t>
      </w:r>
      <w:r>
        <w:rPr>
          <w:rFonts w:ascii="宋体" w:hAnsi="宋体" w:hint="eastAsia"/>
          <w:spacing w:val="20"/>
        </w:rPr>
        <w:t>刘曜华</w:t>
      </w:r>
      <w:r>
        <w:rPr>
          <w:rFonts w:ascii="宋体" w:hAnsi="宋体" w:hint="eastAsia"/>
          <w:spacing w:val="20"/>
        </w:rPr>
        <w:t xml:space="preserve"> </w:t>
      </w:r>
      <w:r>
        <w:rPr>
          <w:rFonts w:ascii="宋体" w:hAnsi="宋体"/>
          <w:spacing w:val="20"/>
        </w:rPr>
        <w:t xml:space="preserve"> </w:t>
      </w:r>
      <w:r>
        <w:rPr>
          <w:rFonts w:ascii="宋体" w:hAnsi="宋体" w:hint="eastAsia"/>
          <w:spacing w:val="20"/>
        </w:rPr>
        <w:t>杨</w:t>
      </w:r>
      <w:r>
        <w:rPr>
          <w:rFonts w:ascii="宋体" w:hAnsi="宋体" w:hint="eastAsia"/>
          <w:spacing w:val="20"/>
        </w:rPr>
        <w:t xml:space="preserve"> </w:t>
      </w:r>
      <w:r>
        <w:rPr>
          <w:rFonts w:ascii="宋体" w:hAnsi="宋体"/>
          <w:spacing w:val="20"/>
        </w:rPr>
        <w:t xml:space="preserve"> </w:t>
      </w:r>
      <w:r>
        <w:rPr>
          <w:rFonts w:ascii="宋体" w:hAnsi="宋体" w:hint="eastAsia"/>
          <w:spacing w:val="20"/>
        </w:rPr>
        <w:t>军</w:t>
      </w:r>
      <w:r>
        <w:rPr>
          <w:rFonts w:ascii="宋体" w:hAnsi="宋体" w:hint="eastAsia"/>
          <w:spacing w:val="20"/>
        </w:rPr>
        <w:t xml:space="preserve"> </w:t>
      </w:r>
      <w:r>
        <w:rPr>
          <w:rFonts w:ascii="宋体" w:hAnsi="宋体"/>
          <w:spacing w:val="20"/>
        </w:rPr>
        <w:t xml:space="preserve"> </w:t>
      </w:r>
      <w:r>
        <w:rPr>
          <w:rFonts w:ascii="宋体" w:hAnsi="宋体" w:hint="eastAsia"/>
          <w:spacing w:val="20"/>
        </w:rPr>
        <w:t>杨</w:t>
      </w:r>
      <w:r>
        <w:rPr>
          <w:rFonts w:ascii="宋体" w:hAnsi="宋体" w:hint="eastAsia"/>
          <w:spacing w:val="20"/>
        </w:rPr>
        <w:t xml:space="preserve"> </w:t>
      </w:r>
      <w:r>
        <w:rPr>
          <w:rFonts w:ascii="宋体" w:hAnsi="宋体"/>
          <w:spacing w:val="20"/>
        </w:rPr>
        <w:t xml:space="preserve"> </w:t>
      </w:r>
      <w:proofErr w:type="gramStart"/>
      <w:r>
        <w:rPr>
          <w:rFonts w:ascii="宋体" w:hAnsi="宋体" w:hint="eastAsia"/>
          <w:spacing w:val="20"/>
        </w:rPr>
        <w:t>帆</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陈伯如</w:t>
      </w:r>
    </w:p>
    <w:p w14:paraId="235D1A05" w14:textId="77777777" w:rsidR="00622EE7" w:rsidRDefault="00E60909">
      <w:pPr>
        <w:spacing w:line="360" w:lineRule="auto"/>
        <w:ind w:firstLineChars="800" w:firstLine="2240"/>
        <w:rPr>
          <w:rFonts w:ascii="宋体" w:hAnsi="宋体"/>
          <w:spacing w:val="20"/>
        </w:rPr>
      </w:pPr>
      <w:r>
        <w:rPr>
          <w:rFonts w:ascii="宋体" w:hAnsi="宋体" w:hint="eastAsia"/>
          <w:spacing w:val="20"/>
        </w:rPr>
        <w:t>杨</w:t>
      </w:r>
      <w:r>
        <w:rPr>
          <w:rFonts w:ascii="宋体" w:hAnsi="宋体" w:hint="eastAsia"/>
          <w:spacing w:val="20"/>
        </w:rPr>
        <w:t xml:space="preserve"> </w:t>
      </w:r>
      <w:r>
        <w:rPr>
          <w:rFonts w:ascii="宋体" w:hAnsi="宋体"/>
          <w:spacing w:val="20"/>
        </w:rPr>
        <w:t xml:space="preserve"> </w:t>
      </w:r>
      <w:r>
        <w:rPr>
          <w:rFonts w:ascii="宋体" w:hAnsi="宋体" w:hint="eastAsia"/>
          <w:spacing w:val="20"/>
        </w:rPr>
        <w:t>杰</w:t>
      </w:r>
      <w:r>
        <w:rPr>
          <w:rFonts w:ascii="宋体" w:hAnsi="宋体" w:hint="eastAsia"/>
          <w:spacing w:val="20"/>
        </w:rPr>
        <w:t xml:space="preserve"> </w:t>
      </w:r>
      <w:r>
        <w:rPr>
          <w:rFonts w:ascii="宋体" w:hAnsi="宋体"/>
          <w:spacing w:val="20"/>
        </w:rPr>
        <w:t xml:space="preserve"> </w:t>
      </w:r>
      <w:r>
        <w:rPr>
          <w:rFonts w:ascii="宋体" w:hAnsi="宋体" w:hint="eastAsia"/>
          <w:spacing w:val="20"/>
        </w:rPr>
        <w:t>杨常青</w:t>
      </w:r>
      <w:r>
        <w:rPr>
          <w:rFonts w:ascii="宋体" w:hAnsi="宋体" w:hint="eastAsia"/>
          <w:spacing w:val="20"/>
        </w:rPr>
        <w:t xml:space="preserve"> </w:t>
      </w:r>
      <w:r>
        <w:rPr>
          <w:rFonts w:ascii="宋体" w:hAnsi="宋体"/>
          <w:spacing w:val="20"/>
        </w:rPr>
        <w:t xml:space="preserve"> </w:t>
      </w:r>
      <w:r>
        <w:rPr>
          <w:rFonts w:ascii="宋体" w:hAnsi="宋体" w:hint="eastAsia"/>
          <w:spacing w:val="20"/>
        </w:rPr>
        <w:t>李</w:t>
      </w:r>
      <w:r>
        <w:rPr>
          <w:rFonts w:ascii="宋体" w:hAnsi="宋体" w:hint="eastAsia"/>
          <w:spacing w:val="20"/>
        </w:rPr>
        <w:t xml:space="preserve"> </w:t>
      </w:r>
      <w:r>
        <w:rPr>
          <w:rFonts w:ascii="宋体" w:hAnsi="宋体"/>
          <w:spacing w:val="20"/>
        </w:rPr>
        <w:t xml:space="preserve"> </w:t>
      </w:r>
      <w:r>
        <w:rPr>
          <w:rFonts w:ascii="宋体" w:hAnsi="宋体" w:hint="eastAsia"/>
          <w:spacing w:val="20"/>
        </w:rPr>
        <w:t>峰</w:t>
      </w:r>
      <w:r>
        <w:rPr>
          <w:rFonts w:ascii="宋体" w:hAnsi="宋体" w:hint="eastAsia"/>
          <w:spacing w:val="20"/>
        </w:rPr>
        <w:t xml:space="preserve"> </w:t>
      </w:r>
      <w:r>
        <w:rPr>
          <w:rFonts w:ascii="宋体" w:hAnsi="宋体"/>
          <w:spacing w:val="20"/>
        </w:rPr>
        <w:t xml:space="preserve"> </w:t>
      </w:r>
      <w:proofErr w:type="gramStart"/>
      <w:r>
        <w:rPr>
          <w:rFonts w:ascii="宋体" w:hAnsi="宋体" w:hint="eastAsia"/>
          <w:spacing w:val="20"/>
        </w:rPr>
        <w:t>李晨颖</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张</w:t>
      </w:r>
      <w:r>
        <w:rPr>
          <w:rFonts w:ascii="宋体" w:hAnsi="宋体" w:hint="eastAsia"/>
          <w:spacing w:val="20"/>
        </w:rPr>
        <w:t xml:space="preserve"> </w:t>
      </w:r>
      <w:r>
        <w:rPr>
          <w:rFonts w:ascii="宋体" w:hAnsi="宋体"/>
          <w:spacing w:val="20"/>
        </w:rPr>
        <w:t xml:space="preserve"> </w:t>
      </w:r>
      <w:r>
        <w:rPr>
          <w:rFonts w:ascii="宋体" w:hAnsi="宋体" w:hint="eastAsia"/>
          <w:spacing w:val="20"/>
        </w:rPr>
        <w:t>波</w:t>
      </w:r>
    </w:p>
    <w:p w14:paraId="45BBED29" w14:textId="77777777" w:rsidR="00622EE7" w:rsidRDefault="00E60909">
      <w:pPr>
        <w:spacing w:line="360" w:lineRule="auto"/>
        <w:ind w:firstLineChars="800" w:firstLine="2240"/>
        <w:rPr>
          <w:rFonts w:ascii="宋体" w:hAnsi="宋体"/>
          <w:spacing w:val="20"/>
        </w:rPr>
      </w:pPr>
      <w:proofErr w:type="gramStart"/>
      <w:r>
        <w:rPr>
          <w:rFonts w:ascii="宋体" w:hAnsi="宋体" w:hint="eastAsia"/>
          <w:spacing w:val="20"/>
        </w:rPr>
        <w:t>张智逸</w:t>
      </w:r>
      <w:proofErr w:type="gramEnd"/>
      <w:r>
        <w:rPr>
          <w:rFonts w:ascii="宋体" w:hAnsi="宋体" w:hint="eastAsia"/>
          <w:spacing w:val="20"/>
        </w:rPr>
        <w:t xml:space="preserve"> </w:t>
      </w:r>
      <w:r>
        <w:rPr>
          <w:rFonts w:ascii="宋体" w:hAnsi="宋体"/>
          <w:spacing w:val="20"/>
        </w:rPr>
        <w:t xml:space="preserve"> </w:t>
      </w:r>
      <w:proofErr w:type="gramStart"/>
      <w:r>
        <w:rPr>
          <w:rFonts w:ascii="宋体" w:hAnsi="宋体" w:hint="eastAsia"/>
          <w:spacing w:val="20"/>
        </w:rPr>
        <w:t>郑佳旭</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赵子龙</w:t>
      </w:r>
      <w:r>
        <w:rPr>
          <w:rFonts w:ascii="宋体" w:hAnsi="宋体" w:hint="eastAsia"/>
          <w:spacing w:val="20"/>
        </w:rPr>
        <w:t xml:space="preserve"> </w:t>
      </w:r>
      <w:r>
        <w:rPr>
          <w:rFonts w:ascii="宋体" w:hAnsi="宋体"/>
          <w:spacing w:val="20"/>
        </w:rPr>
        <w:t xml:space="preserve"> </w:t>
      </w:r>
      <w:r>
        <w:rPr>
          <w:rFonts w:ascii="宋体" w:hAnsi="宋体" w:hint="eastAsia"/>
          <w:spacing w:val="20"/>
        </w:rPr>
        <w:t>赵国强</w:t>
      </w:r>
      <w:r>
        <w:rPr>
          <w:rFonts w:ascii="宋体" w:hAnsi="宋体" w:hint="eastAsia"/>
          <w:spacing w:val="20"/>
        </w:rPr>
        <w:t xml:space="preserve"> </w:t>
      </w:r>
      <w:r>
        <w:rPr>
          <w:rFonts w:ascii="宋体" w:hAnsi="宋体"/>
          <w:spacing w:val="20"/>
        </w:rPr>
        <w:t xml:space="preserve"> </w:t>
      </w:r>
      <w:r>
        <w:rPr>
          <w:rFonts w:ascii="宋体" w:hAnsi="宋体" w:hint="eastAsia"/>
          <w:spacing w:val="20"/>
        </w:rPr>
        <w:t>赵建峰</w:t>
      </w:r>
    </w:p>
    <w:p w14:paraId="55861256" w14:textId="77777777" w:rsidR="00622EE7" w:rsidRDefault="00E60909">
      <w:pPr>
        <w:spacing w:line="360" w:lineRule="auto"/>
        <w:ind w:firstLineChars="800" w:firstLine="2240"/>
        <w:rPr>
          <w:rFonts w:ascii="宋体" w:hAnsi="宋体"/>
          <w:spacing w:val="20"/>
        </w:rPr>
      </w:pPr>
      <w:proofErr w:type="gramStart"/>
      <w:r>
        <w:rPr>
          <w:rFonts w:ascii="宋体" w:hAnsi="宋体" w:hint="eastAsia"/>
          <w:spacing w:val="20"/>
        </w:rPr>
        <w:t>秦元坤</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陶</w:t>
      </w:r>
      <w:r>
        <w:rPr>
          <w:rFonts w:ascii="宋体" w:hAnsi="宋体" w:hint="eastAsia"/>
          <w:spacing w:val="20"/>
        </w:rPr>
        <w:t xml:space="preserve"> </w:t>
      </w:r>
      <w:r>
        <w:rPr>
          <w:rFonts w:ascii="宋体" w:hAnsi="宋体"/>
          <w:spacing w:val="20"/>
        </w:rPr>
        <w:t xml:space="preserve"> </w:t>
      </w:r>
      <w:r>
        <w:rPr>
          <w:rFonts w:ascii="宋体" w:hAnsi="宋体" w:hint="eastAsia"/>
          <w:spacing w:val="20"/>
        </w:rPr>
        <w:t>龙</w:t>
      </w:r>
      <w:r>
        <w:rPr>
          <w:rFonts w:ascii="宋体" w:hAnsi="宋体" w:hint="eastAsia"/>
          <w:spacing w:val="20"/>
        </w:rPr>
        <w:t xml:space="preserve"> </w:t>
      </w:r>
      <w:r>
        <w:rPr>
          <w:rFonts w:ascii="宋体" w:hAnsi="宋体"/>
          <w:spacing w:val="20"/>
        </w:rPr>
        <w:t xml:space="preserve"> </w:t>
      </w:r>
      <w:r>
        <w:rPr>
          <w:rFonts w:ascii="宋体" w:hAnsi="宋体" w:hint="eastAsia"/>
          <w:spacing w:val="20"/>
        </w:rPr>
        <w:t>徐</w:t>
      </w:r>
      <w:r>
        <w:rPr>
          <w:rFonts w:ascii="宋体" w:hAnsi="宋体" w:hint="eastAsia"/>
          <w:spacing w:val="20"/>
        </w:rPr>
        <w:t xml:space="preserve"> </w:t>
      </w:r>
      <w:r>
        <w:rPr>
          <w:rFonts w:ascii="宋体" w:hAnsi="宋体"/>
          <w:spacing w:val="20"/>
        </w:rPr>
        <w:t xml:space="preserve"> </w:t>
      </w:r>
      <w:r>
        <w:rPr>
          <w:rFonts w:ascii="宋体" w:hAnsi="宋体" w:hint="eastAsia"/>
          <w:spacing w:val="20"/>
        </w:rPr>
        <w:t>虎</w:t>
      </w:r>
      <w:r>
        <w:rPr>
          <w:rFonts w:ascii="宋体" w:hAnsi="宋体" w:hint="eastAsia"/>
          <w:spacing w:val="20"/>
        </w:rPr>
        <w:t xml:space="preserve"> </w:t>
      </w:r>
      <w:r>
        <w:rPr>
          <w:rFonts w:ascii="宋体" w:hAnsi="宋体"/>
          <w:spacing w:val="20"/>
        </w:rPr>
        <w:t xml:space="preserve"> </w:t>
      </w:r>
      <w:r>
        <w:rPr>
          <w:rFonts w:ascii="宋体" w:hAnsi="宋体" w:hint="eastAsia"/>
          <w:spacing w:val="20"/>
        </w:rPr>
        <w:t>贾雪峰</w:t>
      </w:r>
      <w:r>
        <w:rPr>
          <w:rFonts w:ascii="宋体" w:hAnsi="宋体" w:hint="eastAsia"/>
          <w:spacing w:val="20"/>
        </w:rPr>
        <w:t xml:space="preserve"> </w:t>
      </w:r>
      <w:r>
        <w:rPr>
          <w:rFonts w:ascii="宋体" w:hAnsi="宋体"/>
          <w:spacing w:val="20"/>
        </w:rPr>
        <w:t xml:space="preserve"> </w:t>
      </w:r>
      <w:proofErr w:type="gramStart"/>
      <w:r>
        <w:rPr>
          <w:rFonts w:ascii="宋体" w:hAnsi="宋体" w:hint="eastAsia"/>
          <w:spacing w:val="20"/>
        </w:rPr>
        <w:t>崔</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伟</w:t>
      </w:r>
    </w:p>
    <w:p w14:paraId="137A6249" w14:textId="77777777" w:rsidR="00622EE7" w:rsidRDefault="00E60909">
      <w:pPr>
        <w:spacing w:line="360" w:lineRule="auto"/>
        <w:ind w:firstLineChars="800" w:firstLine="2240"/>
        <w:rPr>
          <w:rFonts w:ascii="宋体" w:hAnsi="宋体"/>
          <w:spacing w:val="20"/>
        </w:rPr>
      </w:pPr>
      <w:proofErr w:type="gramStart"/>
      <w:r>
        <w:rPr>
          <w:rFonts w:ascii="宋体" w:hAnsi="宋体" w:hint="eastAsia"/>
          <w:spacing w:val="20"/>
        </w:rPr>
        <w:t>商宇飞</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曹</w:t>
      </w:r>
      <w:r>
        <w:rPr>
          <w:rFonts w:ascii="宋体" w:hAnsi="宋体" w:hint="eastAsia"/>
          <w:spacing w:val="20"/>
        </w:rPr>
        <w:t xml:space="preserve"> </w:t>
      </w:r>
      <w:r>
        <w:rPr>
          <w:rFonts w:ascii="宋体" w:hAnsi="宋体"/>
          <w:spacing w:val="20"/>
        </w:rPr>
        <w:t xml:space="preserve"> </w:t>
      </w:r>
      <w:proofErr w:type="gramStart"/>
      <w:r>
        <w:rPr>
          <w:rFonts w:ascii="宋体" w:hAnsi="宋体" w:hint="eastAsia"/>
          <w:spacing w:val="20"/>
        </w:rPr>
        <w:t>矗</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蔺瑞芳</w:t>
      </w:r>
      <w:r>
        <w:rPr>
          <w:rFonts w:ascii="宋体" w:hAnsi="宋体" w:hint="eastAsia"/>
          <w:spacing w:val="20"/>
        </w:rPr>
        <w:t xml:space="preserve"> </w:t>
      </w:r>
      <w:r>
        <w:rPr>
          <w:rFonts w:ascii="宋体" w:hAnsi="宋体"/>
          <w:spacing w:val="20"/>
        </w:rPr>
        <w:t xml:space="preserve"> </w:t>
      </w:r>
      <w:proofErr w:type="gramStart"/>
      <w:r>
        <w:rPr>
          <w:rFonts w:ascii="宋体" w:hAnsi="宋体" w:hint="eastAsia"/>
          <w:spacing w:val="20"/>
        </w:rPr>
        <w:t>穆春霞</w:t>
      </w:r>
      <w:proofErr w:type="gramEnd"/>
    </w:p>
    <w:p w14:paraId="5919335B" w14:textId="77777777" w:rsidR="00622EE7" w:rsidRDefault="00E60909">
      <w:pPr>
        <w:spacing w:line="360" w:lineRule="auto"/>
        <w:ind w:firstLineChars="200" w:firstLine="560"/>
        <w:rPr>
          <w:rFonts w:ascii="黑体" w:eastAsia="黑体" w:hAnsi="黑体"/>
          <w:spacing w:val="20"/>
        </w:rPr>
      </w:pPr>
      <w:r>
        <w:rPr>
          <w:rFonts w:ascii="黑体" w:eastAsia="黑体" w:hAnsi="黑体" w:hint="eastAsia"/>
          <w:spacing w:val="20"/>
        </w:rPr>
        <w:t>主要审查人：</w:t>
      </w:r>
      <w:r>
        <w:rPr>
          <w:rFonts w:ascii="宋体" w:hAnsi="宋体" w:hint="eastAsia"/>
          <w:spacing w:val="20"/>
        </w:rPr>
        <w:t>林</w:t>
      </w:r>
      <w:r>
        <w:rPr>
          <w:rFonts w:ascii="宋体" w:hAnsi="宋体"/>
          <w:spacing w:val="20"/>
        </w:rPr>
        <w:t xml:space="preserve">  </w:t>
      </w:r>
      <w:proofErr w:type="gramStart"/>
      <w:r>
        <w:rPr>
          <w:rFonts w:ascii="宋体" w:hAnsi="宋体"/>
          <w:spacing w:val="20"/>
        </w:rPr>
        <w:t>澎</w:t>
      </w:r>
      <w:proofErr w:type="gramEnd"/>
      <w:r>
        <w:rPr>
          <w:rFonts w:ascii="宋体" w:hAnsi="宋体"/>
          <w:spacing w:val="20"/>
        </w:rPr>
        <w:t xml:space="preserve">  </w:t>
      </w:r>
      <w:r>
        <w:rPr>
          <w:rFonts w:ascii="宋体" w:hAnsi="宋体"/>
          <w:spacing w:val="20"/>
        </w:rPr>
        <w:t>孙</w:t>
      </w:r>
      <w:r>
        <w:rPr>
          <w:rFonts w:ascii="宋体" w:hAnsi="宋体"/>
          <w:spacing w:val="20"/>
        </w:rPr>
        <w:t xml:space="preserve">  </w:t>
      </w:r>
      <w:r>
        <w:rPr>
          <w:rFonts w:ascii="宋体" w:hAnsi="宋体"/>
          <w:spacing w:val="20"/>
        </w:rPr>
        <w:t>烜</w:t>
      </w:r>
      <w:r>
        <w:rPr>
          <w:rFonts w:ascii="宋体" w:hAnsi="宋体"/>
          <w:spacing w:val="20"/>
        </w:rPr>
        <w:t xml:space="preserve">  </w:t>
      </w:r>
      <w:r>
        <w:rPr>
          <w:rFonts w:ascii="宋体" w:hAnsi="宋体"/>
          <w:spacing w:val="20"/>
        </w:rPr>
        <w:t>吴宇红</w:t>
      </w:r>
      <w:r>
        <w:rPr>
          <w:rFonts w:ascii="宋体" w:hAnsi="宋体"/>
          <w:spacing w:val="20"/>
        </w:rPr>
        <w:t xml:space="preserve">  </w:t>
      </w:r>
      <w:r>
        <w:rPr>
          <w:rFonts w:ascii="宋体" w:hAnsi="宋体"/>
          <w:spacing w:val="20"/>
        </w:rPr>
        <w:t>林</w:t>
      </w:r>
      <w:r>
        <w:rPr>
          <w:rFonts w:ascii="宋体" w:hAnsi="宋体" w:hint="eastAsia"/>
          <w:spacing w:val="20"/>
        </w:rPr>
        <w:t xml:space="preserve"> </w:t>
      </w:r>
      <w:r>
        <w:rPr>
          <w:rFonts w:ascii="宋体" w:hAnsi="宋体"/>
          <w:spacing w:val="20"/>
        </w:rPr>
        <w:t xml:space="preserve"> </w:t>
      </w:r>
      <w:proofErr w:type="gramStart"/>
      <w:r>
        <w:rPr>
          <w:rFonts w:ascii="宋体" w:hAnsi="宋体"/>
          <w:spacing w:val="20"/>
        </w:rPr>
        <w:t>曈</w:t>
      </w:r>
      <w:proofErr w:type="gramEnd"/>
      <w:r>
        <w:rPr>
          <w:rFonts w:ascii="宋体" w:hAnsi="宋体"/>
          <w:spacing w:val="20"/>
        </w:rPr>
        <w:tab/>
        <w:t xml:space="preserve">  </w:t>
      </w:r>
      <w:proofErr w:type="gramStart"/>
      <w:r>
        <w:rPr>
          <w:rFonts w:ascii="宋体" w:hAnsi="宋体"/>
          <w:spacing w:val="20"/>
        </w:rPr>
        <w:t>尤文建</w:t>
      </w:r>
      <w:proofErr w:type="gramEnd"/>
    </w:p>
    <w:p w14:paraId="36D403AC" w14:textId="77777777" w:rsidR="00622EE7" w:rsidRDefault="00E60909">
      <w:pPr>
        <w:spacing w:line="360" w:lineRule="auto"/>
        <w:ind w:firstLineChars="800" w:firstLine="2240"/>
        <w:rPr>
          <w:rFonts w:ascii="宋体" w:hAnsi="宋体"/>
          <w:spacing w:val="20"/>
        </w:rPr>
      </w:pPr>
      <w:r>
        <w:rPr>
          <w:rFonts w:ascii="宋体" w:hAnsi="宋体" w:hint="eastAsia"/>
          <w:spacing w:val="20"/>
        </w:rPr>
        <w:t>李振清</w:t>
      </w:r>
      <w:r>
        <w:rPr>
          <w:rFonts w:ascii="宋体" w:hAnsi="宋体" w:hint="eastAsia"/>
          <w:spacing w:val="20"/>
        </w:rPr>
        <w:t xml:space="preserve"> </w:t>
      </w:r>
      <w:r>
        <w:rPr>
          <w:rFonts w:ascii="宋体" w:hAnsi="宋体"/>
          <w:spacing w:val="20"/>
        </w:rPr>
        <w:t xml:space="preserve"> </w:t>
      </w:r>
      <w:r>
        <w:rPr>
          <w:rFonts w:ascii="宋体" w:hAnsi="宋体" w:hint="eastAsia"/>
          <w:spacing w:val="20"/>
        </w:rPr>
        <w:t>陶格斯</w:t>
      </w:r>
      <w:r>
        <w:rPr>
          <w:rFonts w:ascii="宋体" w:hAnsi="宋体" w:hint="eastAsia"/>
          <w:spacing w:val="20"/>
        </w:rPr>
        <w:t xml:space="preserve"> </w:t>
      </w:r>
      <w:r>
        <w:rPr>
          <w:rFonts w:ascii="宋体" w:hAnsi="宋体"/>
          <w:spacing w:val="20"/>
        </w:rPr>
        <w:t xml:space="preserve"> </w:t>
      </w:r>
      <w:r>
        <w:rPr>
          <w:rFonts w:ascii="宋体" w:hAnsi="宋体" w:hint="eastAsia"/>
          <w:spacing w:val="20"/>
        </w:rPr>
        <w:t>赵</w:t>
      </w:r>
      <w:r>
        <w:rPr>
          <w:rFonts w:ascii="宋体" w:hAnsi="宋体"/>
          <w:spacing w:val="20"/>
        </w:rPr>
        <w:t xml:space="preserve">  </w:t>
      </w:r>
      <w:r>
        <w:rPr>
          <w:rFonts w:ascii="宋体" w:hAnsi="宋体"/>
          <w:spacing w:val="20"/>
        </w:rPr>
        <w:t>旭</w:t>
      </w:r>
      <w:r>
        <w:rPr>
          <w:rFonts w:ascii="宋体" w:hAnsi="宋体" w:hint="eastAsia"/>
          <w:spacing w:val="20"/>
        </w:rPr>
        <w:t xml:space="preserve"> </w:t>
      </w:r>
      <w:r>
        <w:rPr>
          <w:rFonts w:ascii="宋体" w:hAnsi="宋体"/>
          <w:spacing w:val="20"/>
        </w:rPr>
        <w:t xml:space="preserve"> </w:t>
      </w:r>
      <w:r>
        <w:rPr>
          <w:rFonts w:ascii="宋体" w:hAnsi="宋体"/>
          <w:spacing w:val="20"/>
        </w:rPr>
        <w:t>王</w:t>
      </w:r>
      <w:r>
        <w:rPr>
          <w:rFonts w:ascii="宋体" w:hAnsi="宋体"/>
          <w:spacing w:val="20"/>
        </w:rPr>
        <w:t xml:space="preserve">  </w:t>
      </w:r>
      <w:proofErr w:type="gramStart"/>
      <w:r>
        <w:rPr>
          <w:rFonts w:ascii="宋体" w:hAnsi="宋体"/>
          <w:spacing w:val="20"/>
        </w:rPr>
        <w:t>喆</w:t>
      </w:r>
      <w:proofErr w:type="gramEnd"/>
      <w:r>
        <w:rPr>
          <w:rFonts w:ascii="宋体" w:hAnsi="宋体" w:hint="eastAsia"/>
          <w:spacing w:val="20"/>
        </w:rPr>
        <w:t xml:space="preserve"> </w:t>
      </w:r>
      <w:r>
        <w:rPr>
          <w:rFonts w:ascii="宋体" w:hAnsi="宋体"/>
          <w:spacing w:val="20"/>
        </w:rPr>
        <w:t xml:space="preserve"> </w:t>
      </w:r>
      <w:proofErr w:type="gramStart"/>
      <w:r>
        <w:rPr>
          <w:rFonts w:ascii="宋体" w:hAnsi="宋体"/>
          <w:spacing w:val="20"/>
        </w:rPr>
        <w:t>马银兄</w:t>
      </w:r>
      <w:proofErr w:type="gramEnd"/>
    </w:p>
    <w:p w14:paraId="7E9DC09C" w14:textId="77777777" w:rsidR="00622EE7" w:rsidRDefault="00E60909">
      <w:pPr>
        <w:widowControl/>
      </w:pPr>
      <w:r>
        <w:br w:type="page"/>
      </w:r>
    </w:p>
    <w:p w14:paraId="04F32CCB" w14:textId="77777777" w:rsidR="00622EE7" w:rsidRDefault="00E60909">
      <w:pPr>
        <w:spacing w:beforeLines="150" w:before="489" w:afterLines="150" w:after="489"/>
        <w:rPr>
          <w:rFonts w:ascii="Times New Roman" w:eastAsia="黑体" w:hAnsi="Times New Roman"/>
          <w:sz w:val="32"/>
          <w:szCs w:val="32"/>
        </w:rPr>
      </w:pPr>
      <w:bookmarkStart w:id="0" w:name="_Toc529371301"/>
      <w:r>
        <w:rPr>
          <w:rFonts w:ascii="Times New Roman" w:eastAsia="黑体" w:hAnsi="Times New Roman" w:hint="eastAsia"/>
          <w:sz w:val="32"/>
          <w:szCs w:val="32"/>
        </w:rPr>
        <w:lastRenderedPageBreak/>
        <w:t>目</w:t>
      </w:r>
      <w:r>
        <w:rPr>
          <w:rFonts w:ascii="Times New Roman" w:eastAsia="黑体" w:hAnsi="Times New Roman"/>
          <w:sz w:val="32"/>
          <w:szCs w:val="32"/>
        </w:rPr>
        <w:t>  </w:t>
      </w:r>
      <w:r>
        <w:rPr>
          <w:rFonts w:ascii="Times New Roman" w:eastAsia="黑体" w:hAnsi="Times New Roman" w:hint="eastAsia"/>
          <w:sz w:val="32"/>
          <w:szCs w:val="32"/>
        </w:rPr>
        <w:t>次</w:t>
      </w:r>
    </w:p>
    <w:p w14:paraId="000A0EA3" w14:textId="77777777" w:rsidR="00622EE7" w:rsidRDefault="00E60909">
      <w:pPr>
        <w:pStyle w:val="TOC1"/>
        <w:spacing w:line="360" w:lineRule="auto"/>
        <w:jc w:val="both"/>
        <w:rPr>
          <w:rFonts w:ascii="宋体" w:eastAsia="宋体" w:hAnsi="宋体" w:cstheme="minorBidi"/>
          <w:sz w:val="21"/>
        </w:rPr>
      </w:pPr>
      <w:r>
        <w:rPr>
          <w:rFonts w:ascii="宋体" w:eastAsia="宋体" w:hAnsi="宋体"/>
          <w:szCs w:val="24"/>
        </w:rPr>
        <w:fldChar w:fldCharType="begin"/>
      </w:r>
      <w:r>
        <w:rPr>
          <w:rFonts w:ascii="宋体" w:eastAsia="宋体" w:hAnsi="宋体"/>
          <w:szCs w:val="24"/>
        </w:rPr>
        <w:instrText>TOC \o "1-3" \h \z \u</w:instrText>
      </w:r>
      <w:r>
        <w:rPr>
          <w:rFonts w:ascii="宋体" w:eastAsia="宋体" w:hAnsi="宋体"/>
          <w:szCs w:val="24"/>
        </w:rPr>
        <w:fldChar w:fldCharType="separate"/>
      </w:r>
      <w:hyperlink w:anchor="_Toc182841323" w:history="1">
        <w:r>
          <w:rPr>
            <w:rStyle w:val="af1"/>
            <w:rFonts w:ascii="宋体" w:eastAsia="宋体" w:hAnsi="宋体"/>
            <w:color w:val="auto"/>
          </w:rPr>
          <w:t xml:space="preserve">1  </w:t>
        </w:r>
        <w:r>
          <w:rPr>
            <w:rStyle w:val="af1"/>
            <w:rFonts w:ascii="宋体" w:eastAsia="宋体" w:hAnsi="宋体"/>
            <w:color w:val="auto"/>
          </w:rPr>
          <w:t>总则</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_Toc182841323 \h </w:instrText>
        </w:r>
        <w:r>
          <w:rPr>
            <w:rFonts w:ascii="宋体" w:eastAsia="宋体" w:hAnsi="宋体"/>
          </w:rPr>
        </w:r>
        <w:r>
          <w:rPr>
            <w:rFonts w:ascii="宋体" w:eastAsia="宋体" w:hAnsi="宋体"/>
          </w:rPr>
          <w:fldChar w:fldCharType="separate"/>
        </w:r>
        <w:r>
          <w:rPr>
            <w:rFonts w:ascii="宋体" w:eastAsia="宋体" w:hAnsi="宋体"/>
          </w:rPr>
          <w:t>1</w:t>
        </w:r>
        <w:r>
          <w:rPr>
            <w:rFonts w:ascii="宋体" w:eastAsia="宋体" w:hAnsi="宋体"/>
          </w:rPr>
          <w:fldChar w:fldCharType="end"/>
        </w:r>
      </w:hyperlink>
    </w:p>
    <w:p w14:paraId="1CE0411C" w14:textId="77777777" w:rsidR="00622EE7" w:rsidRDefault="00E60909">
      <w:pPr>
        <w:pStyle w:val="TOC1"/>
        <w:spacing w:line="360" w:lineRule="auto"/>
        <w:jc w:val="both"/>
        <w:rPr>
          <w:rFonts w:ascii="宋体" w:eastAsia="宋体" w:hAnsi="宋体" w:cstheme="minorBidi"/>
          <w:sz w:val="21"/>
        </w:rPr>
      </w:pPr>
      <w:hyperlink w:anchor="_Toc182841324" w:history="1">
        <w:r>
          <w:rPr>
            <w:rStyle w:val="af1"/>
            <w:rFonts w:ascii="宋体" w:eastAsia="宋体" w:hAnsi="宋体"/>
            <w:color w:val="auto"/>
          </w:rPr>
          <w:t xml:space="preserve">2  </w:t>
        </w:r>
        <w:r>
          <w:rPr>
            <w:rStyle w:val="af1"/>
            <w:rFonts w:ascii="宋体" w:eastAsia="宋体" w:hAnsi="宋体"/>
            <w:color w:val="auto"/>
          </w:rPr>
          <w:t>术语</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_Toc182841324 \h </w:instrText>
        </w:r>
        <w:r>
          <w:rPr>
            <w:rFonts w:ascii="宋体" w:eastAsia="宋体" w:hAnsi="宋体"/>
          </w:rPr>
        </w:r>
        <w:r>
          <w:rPr>
            <w:rFonts w:ascii="宋体" w:eastAsia="宋体" w:hAnsi="宋体"/>
          </w:rPr>
          <w:fldChar w:fldCharType="separate"/>
        </w:r>
        <w:r>
          <w:rPr>
            <w:rFonts w:ascii="宋体" w:eastAsia="宋体" w:hAnsi="宋体"/>
          </w:rPr>
          <w:t>2</w:t>
        </w:r>
        <w:r>
          <w:rPr>
            <w:rFonts w:ascii="宋体" w:eastAsia="宋体" w:hAnsi="宋体"/>
          </w:rPr>
          <w:fldChar w:fldCharType="end"/>
        </w:r>
      </w:hyperlink>
    </w:p>
    <w:p w14:paraId="622E83FF" w14:textId="77777777" w:rsidR="00622EE7" w:rsidRDefault="00E60909">
      <w:pPr>
        <w:pStyle w:val="TOC1"/>
        <w:spacing w:line="360" w:lineRule="auto"/>
        <w:jc w:val="both"/>
        <w:rPr>
          <w:rFonts w:ascii="宋体" w:eastAsia="宋体" w:hAnsi="宋体" w:cstheme="minorBidi"/>
          <w:sz w:val="21"/>
        </w:rPr>
      </w:pPr>
      <w:hyperlink w:anchor="_Toc182841325" w:history="1">
        <w:r>
          <w:rPr>
            <w:rStyle w:val="af1"/>
            <w:rFonts w:ascii="宋体" w:eastAsia="宋体" w:hAnsi="宋体"/>
            <w:color w:val="auto"/>
          </w:rPr>
          <w:t xml:space="preserve">3  </w:t>
        </w:r>
        <w:r>
          <w:rPr>
            <w:rStyle w:val="af1"/>
            <w:rFonts w:ascii="宋体" w:eastAsia="宋体" w:hAnsi="宋体"/>
            <w:color w:val="auto"/>
          </w:rPr>
          <w:t>基本规定</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_Toc182841325 \h </w:instrText>
        </w:r>
        <w:r>
          <w:rPr>
            <w:rFonts w:ascii="宋体" w:eastAsia="宋体" w:hAnsi="宋体"/>
          </w:rPr>
        </w:r>
        <w:r>
          <w:rPr>
            <w:rFonts w:ascii="宋体" w:eastAsia="宋体" w:hAnsi="宋体"/>
          </w:rPr>
          <w:fldChar w:fldCharType="separate"/>
        </w:r>
        <w:r>
          <w:rPr>
            <w:rFonts w:ascii="宋体" w:eastAsia="宋体" w:hAnsi="宋体"/>
          </w:rPr>
          <w:t>4</w:t>
        </w:r>
        <w:r>
          <w:rPr>
            <w:rFonts w:ascii="宋体" w:eastAsia="宋体" w:hAnsi="宋体"/>
          </w:rPr>
          <w:fldChar w:fldCharType="end"/>
        </w:r>
      </w:hyperlink>
    </w:p>
    <w:p w14:paraId="2D8AB749" w14:textId="77777777" w:rsidR="00622EE7" w:rsidRDefault="00E60909">
      <w:pPr>
        <w:pStyle w:val="TOC1"/>
        <w:spacing w:line="360" w:lineRule="auto"/>
        <w:jc w:val="both"/>
        <w:rPr>
          <w:rFonts w:ascii="宋体" w:eastAsia="宋体" w:hAnsi="宋体" w:cstheme="minorBidi"/>
          <w:sz w:val="21"/>
        </w:rPr>
      </w:pPr>
      <w:hyperlink w:anchor="_Toc182841326" w:history="1">
        <w:r>
          <w:rPr>
            <w:rStyle w:val="af1"/>
            <w:rFonts w:ascii="宋体" w:eastAsia="宋体" w:hAnsi="宋体"/>
            <w:color w:val="auto"/>
          </w:rPr>
          <w:t xml:space="preserve">4  </w:t>
        </w:r>
        <w:r>
          <w:rPr>
            <w:rStyle w:val="af1"/>
            <w:rFonts w:ascii="宋体" w:eastAsia="宋体" w:hAnsi="宋体"/>
            <w:color w:val="auto"/>
          </w:rPr>
          <w:t>技术策划</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_Toc182841326 \h </w:instrText>
        </w:r>
        <w:r>
          <w:rPr>
            <w:rFonts w:ascii="宋体" w:eastAsia="宋体" w:hAnsi="宋体"/>
          </w:rPr>
        </w:r>
        <w:r>
          <w:rPr>
            <w:rFonts w:ascii="宋体" w:eastAsia="宋体" w:hAnsi="宋体"/>
          </w:rPr>
          <w:fldChar w:fldCharType="separate"/>
        </w:r>
        <w:r>
          <w:rPr>
            <w:rFonts w:ascii="宋体" w:eastAsia="宋体" w:hAnsi="宋体"/>
          </w:rPr>
          <w:t>5</w:t>
        </w:r>
        <w:r>
          <w:rPr>
            <w:rFonts w:ascii="宋体" w:eastAsia="宋体" w:hAnsi="宋体"/>
          </w:rPr>
          <w:fldChar w:fldCharType="end"/>
        </w:r>
      </w:hyperlink>
    </w:p>
    <w:p w14:paraId="3DA649B4" w14:textId="77777777" w:rsidR="00622EE7" w:rsidRDefault="00E60909">
      <w:pPr>
        <w:pStyle w:val="TOC2"/>
        <w:spacing w:line="360" w:lineRule="auto"/>
        <w:jc w:val="both"/>
        <w:rPr>
          <w:rFonts w:ascii="宋体" w:hAnsi="宋体" w:cstheme="minorBidi"/>
          <w:szCs w:val="22"/>
        </w:rPr>
      </w:pPr>
      <w:hyperlink w:anchor="_Toc182841327" w:history="1">
        <w:r>
          <w:rPr>
            <w:rStyle w:val="af1"/>
            <w:rFonts w:ascii="宋体" w:hAnsi="宋体"/>
            <w:color w:val="auto"/>
          </w:rPr>
          <w:t xml:space="preserve">4.1 </w:t>
        </w:r>
        <w:r>
          <w:rPr>
            <w:rStyle w:val="af1"/>
            <w:rFonts w:ascii="宋体" w:hAnsi="宋体"/>
            <w:color w:val="auto"/>
          </w:rPr>
          <w:t>节能减排策划</w:t>
        </w:r>
        <w:r>
          <w:rPr>
            <w:rFonts w:ascii="宋体" w:hAnsi="宋体"/>
          </w:rPr>
          <w:tab/>
        </w:r>
        <w:r>
          <w:rPr>
            <w:rFonts w:ascii="宋体" w:hAnsi="宋体"/>
          </w:rPr>
          <w:fldChar w:fldCharType="begin"/>
        </w:r>
        <w:r>
          <w:rPr>
            <w:rFonts w:ascii="宋体" w:hAnsi="宋体"/>
          </w:rPr>
          <w:instrText xml:space="preserve"> PAGEREF _Toc182841327 \h </w:instrText>
        </w:r>
        <w:r>
          <w:rPr>
            <w:rFonts w:ascii="宋体" w:hAnsi="宋体"/>
          </w:rPr>
        </w:r>
        <w:r>
          <w:rPr>
            <w:rFonts w:ascii="宋体" w:hAnsi="宋体"/>
          </w:rPr>
          <w:fldChar w:fldCharType="separate"/>
        </w:r>
        <w:r>
          <w:rPr>
            <w:rFonts w:ascii="宋体" w:hAnsi="宋体"/>
          </w:rPr>
          <w:t>5</w:t>
        </w:r>
        <w:r>
          <w:rPr>
            <w:rFonts w:ascii="宋体" w:hAnsi="宋体"/>
          </w:rPr>
          <w:fldChar w:fldCharType="end"/>
        </w:r>
      </w:hyperlink>
    </w:p>
    <w:p w14:paraId="2F666498" w14:textId="77777777" w:rsidR="00622EE7" w:rsidRDefault="00E60909">
      <w:pPr>
        <w:pStyle w:val="TOC2"/>
        <w:spacing w:line="360" w:lineRule="auto"/>
        <w:jc w:val="both"/>
        <w:rPr>
          <w:rFonts w:ascii="宋体" w:hAnsi="宋体" w:cstheme="minorBidi"/>
          <w:szCs w:val="22"/>
        </w:rPr>
      </w:pPr>
      <w:hyperlink w:anchor="_Toc182841331" w:history="1">
        <w:r>
          <w:rPr>
            <w:rStyle w:val="af1"/>
            <w:rFonts w:ascii="宋体" w:hAnsi="宋体"/>
            <w:color w:val="auto"/>
          </w:rPr>
          <w:t>4.2</w:t>
        </w:r>
        <w:r>
          <w:rPr>
            <w:rStyle w:val="af1"/>
            <w:rFonts w:ascii="宋体" w:hAnsi="宋体"/>
            <w:color w:val="auto"/>
          </w:rPr>
          <w:t>装修策划</w:t>
        </w:r>
        <w:r>
          <w:rPr>
            <w:rFonts w:ascii="宋体" w:hAnsi="宋体"/>
          </w:rPr>
          <w:tab/>
        </w:r>
        <w:r>
          <w:rPr>
            <w:rFonts w:ascii="宋体" w:hAnsi="宋体"/>
          </w:rPr>
          <w:fldChar w:fldCharType="begin"/>
        </w:r>
        <w:r>
          <w:rPr>
            <w:rFonts w:ascii="宋体" w:hAnsi="宋体"/>
          </w:rPr>
          <w:instrText xml:space="preserve"> PAGEREF _Toc182841331 \h </w:instrText>
        </w:r>
        <w:r>
          <w:rPr>
            <w:rFonts w:ascii="宋体" w:hAnsi="宋体"/>
          </w:rPr>
        </w:r>
        <w:r>
          <w:rPr>
            <w:rFonts w:ascii="宋体" w:hAnsi="宋体"/>
          </w:rPr>
          <w:fldChar w:fldCharType="separate"/>
        </w:r>
        <w:r>
          <w:rPr>
            <w:rFonts w:ascii="宋体" w:hAnsi="宋体"/>
          </w:rPr>
          <w:t>6</w:t>
        </w:r>
        <w:r>
          <w:rPr>
            <w:rFonts w:ascii="宋体" w:hAnsi="宋体"/>
          </w:rPr>
          <w:fldChar w:fldCharType="end"/>
        </w:r>
      </w:hyperlink>
    </w:p>
    <w:p w14:paraId="062DEBC5" w14:textId="77777777" w:rsidR="00622EE7" w:rsidRDefault="00E60909">
      <w:pPr>
        <w:pStyle w:val="TOC2"/>
        <w:spacing w:line="360" w:lineRule="auto"/>
        <w:jc w:val="both"/>
        <w:rPr>
          <w:rFonts w:ascii="宋体" w:hAnsi="宋体" w:cstheme="minorBidi"/>
          <w:szCs w:val="22"/>
        </w:rPr>
      </w:pPr>
      <w:hyperlink w:anchor="_Toc182841334" w:history="1">
        <w:r>
          <w:rPr>
            <w:rStyle w:val="af1"/>
            <w:rFonts w:ascii="宋体" w:hAnsi="宋体"/>
            <w:color w:val="auto"/>
          </w:rPr>
          <w:t xml:space="preserve">4.3 </w:t>
        </w:r>
        <w:r>
          <w:rPr>
            <w:rStyle w:val="af1"/>
            <w:rFonts w:ascii="宋体" w:hAnsi="宋体"/>
            <w:color w:val="auto"/>
          </w:rPr>
          <w:t>绿色和低碳建材</w:t>
        </w:r>
        <w:r>
          <w:rPr>
            <w:rFonts w:ascii="宋体" w:hAnsi="宋体"/>
          </w:rPr>
          <w:tab/>
        </w:r>
        <w:r>
          <w:rPr>
            <w:rFonts w:ascii="宋体" w:hAnsi="宋体"/>
          </w:rPr>
          <w:fldChar w:fldCharType="begin"/>
        </w:r>
        <w:r>
          <w:rPr>
            <w:rFonts w:ascii="宋体" w:hAnsi="宋体"/>
          </w:rPr>
          <w:instrText xml:space="preserve"> PAGEREF _</w:instrText>
        </w:r>
        <w:r>
          <w:rPr>
            <w:rFonts w:ascii="宋体" w:hAnsi="宋体"/>
          </w:rPr>
          <w:instrText xml:space="preserve">Toc182841334 \h </w:instrText>
        </w:r>
        <w:r>
          <w:rPr>
            <w:rFonts w:ascii="宋体" w:hAnsi="宋体"/>
          </w:rPr>
        </w:r>
        <w:r>
          <w:rPr>
            <w:rFonts w:ascii="宋体" w:hAnsi="宋体"/>
          </w:rPr>
          <w:fldChar w:fldCharType="separate"/>
        </w:r>
        <w:r>
          <w:rPr>
            <w:rFonts w:ascii="宋体" w:hAnsi="宋体"/>
          </w:rPr>
          <w:t>7</w:t>
        </w:r>
        <w:r>
          <w:rPr>
            <w:rFonts w:ascii="宋体" w:hAnsi="宋体"/>
          </w:rPr>
          <w:fldChar w:fldCharType="end"/>
        </w:r>
      </w:hyperlink>
    </w:p>
    <w:p w14:paraId="2ABAA229" w14:textId="77777777" w:rsidR="00622EE7" w:rsidRDefault="00E60909">
      <w:pPr>
        <w:pStyle w:val="TOC2"/>
        <w:spacing w:line="360" w:lineRule="auto"/>
        <w:jc w:val="both"/>
        <w:rPr>
          <w:rFonts w:ascii="宋体" w:hAnsi="宋体" w:cstheme="minorBidi"/>
          <w:szCs w:val="22"/>
        </w:rPr>
      </w:pPr>
      <w:hyperlink w:anchor="_Toc182841335" w:history="1">
        <w:r>
          <w:rPr>
            <w:rStyle w:val="af1"/>
            <w:rFonts w:ascii="宋体" w:hAnsi="宋体"/>
            <w:color w:val="auto"/>
          </w:rPr>
          <w:t xml:space="preserve">4.4 </w:t>
        </w:r>
        <w:r>
          <w:rPr>
            <w:rStyle w:val="af1"/>
            <w:rFonts w:ascii="宋体" w:hAnsi="宋体"/>
            <w:color w:val="auto"/>
          </w:rPr>
          <w:t>建造策划</w:t>
        </w:r>
        <w:r>
          <w:rPr>
            <w:rFonts w:ascii="宋体" w:hAnsi="宋体"/>
          </w:rPr>
          <w:tab/>
        </w:r>
        <w:r>
          <w:rPr>
            <w:rFonts w:ascii="宋体" w:hAnsi="宋体"/>
          </w:rPr>
          <w:fldChar w:fldCharType="begin"/>
        </w:r>
        <w:r>
          <w:rPr>
            <w:rFonts w:ascii="宋体" w:hAnsi="宋体"/>
          </w:rPr>
          <w:instrText xml:space="preserve"> PAGEREF _Toc182841335 \h </w:instrText>
        </w:r>
        <w:r>
          <w:rPr>
            <w:rFonts w:ascii="宋体" w:hAnsi="宋体"/>
          </w:rPr>
        </w:r>
        <w:r>
          <w:rPr>
            <w:rFonts w:ascii="宋体" w:hAnsi="宋体"/>
          </w:rPr>
          <w:fldChar w:fldCharType="separate"/>
        </w:r>
        <w:r>
          <w:rPr>
            <w:rFonts w:ascii="宋体" w:hAnsi="宋体"/>
          </w:rPr>
          <w:t>8</w:t>
        </w:r>
        <w:r>
          <w:rPr>
            <w:rFonts w:ascii="宋体" w:hAnsi="宋体"/>
          </w:rPr>
          <w:fldChar w:fldCharType="end"/>
        </w:r>
      </w:hyperlink>
    </w:p>
    <w:p w14:paraId="54EBBE35" w14:textId="77777777" w:rsidR="00622EE7" w:rsidRDefault="00E60909">
      <w:pPr>
        <w:pStyle w:val="TOC2"/>
        <w:spacing w:line="360" w:lineRule="auto"/>
        <w:jc w:val="both"/>
        <w:rPr>
          <w:rFonts w:ascii="宋体" w:hAnsi="宋体" w:cstheme="minorBidi"/>
          <w:szCs w:val="22"/>
        </w:rPr>
      </w:pPr>
      <w:hyperlink w:anchor="_Toc182841336" w:history="1">
        <w:r>
          <w:rPr>
            <w:rStyle w:val="af1"/>
            <w:rFonts w:ascii="宋体" w:hAnsi="宋体"/>
            <w:color w:val="auto"/>
          </w:rPr>
          <w:t xml:space="preserve">4.5 </w:t>
        </w:r>
        <w:r>
          <w:rPr>
            <w:rStyle w:val="af1"/>
            <w:rFonts w:ascii="宋体" w:hAnsi="宋体"/>
            <w:color w:val="auto"/>
          </w:rPr>
          <w:t>其他策划项目</w:t>
        </w:r>
        <w:r>
          <w:rPr>
            <w:rFonts w:ascii="宋体" w:hAnsi="宋体"/>
          </w:rPr>
          <w:tab/>
        </w:r>
        <w:r>
          <w:rPr>
            <w:rFonts w:ascii="宋体" w:hAnsi="宋体"/>
          </w:rPr>
          <w:fldChar w:fldCharType="begin"/>
        </w:r>
        <w:r>
          <w:rPr>
            <w:rFonts w:ascii="宋体" w:hAnsi="宋体"/>
          </w:rPr>
          <w:instrText xml:space="preserve"> PAGEREF _Toc182841336 \h </w:instrText>
        </w:r>
        <w:r>
          <w:rPr>
            <w:rFonts w:ascii="宋体" w:hAnsi="宋体"/>
          </w:rPr>
        </w:r>
        <w:r>
          <w:rPr>
            <w:rFonts w:ascii="宋体" w:hAnsi="宋体"/>
          </w:rPr>
          <w:fldChar w:fldCharType="separate"/>
        </w:r>
        <w:r>
          <w:rPr>
            <w:rFonts w:ascii="宋体" w:hAnsi="宋体"/>
          </w:rPr>
          <w:t>8</w:t>
        </w:r>
        <w:r>
          <w:rPr>
            <w:rFonts w:ascii="宋体" w:hAnsi="宋体"/>
          </w:rPr>
          <w:fldChar w:fldCharType="end"/>
        </w:r>
      </w:hyperlink>
    </w:p>
    <w:p w14:paraId="72ECE3BF" w14:textId="77777777" w:rsidR="00622EE7" w:rsidRDefault="00E60909">
      <w:pPr>
        <w:pStyle w:val="TOC1"/>
        <w:spacing w:line="360" w:lineRule="auto"/>
        <w:jc w:val="both"/>
        <w:rPr>
          <w:rFonts w:ascii="宋体" w:eastAsia="宋体" w:hAnsi="宋体" w:cstheme="minorBidi"/>
          <w:sz w:val="21"/>
        </w:rPr>
      </w:pPr>
      <w:hyperlink w:anchor="_Toc182841337" w:history="1">
        <w:r>
          <w:rPr>
            <w:rStyle w:val="af1"/>
            <w:rFonts w:ascii="宋体" w:eastAsia="宋体" w:hAnsi="宋体"/>
            <w:color w:val="auto"/>
          </w:rPr>
          <w:t xml:space="preserve">5  </w:t>
        </w:r>
        <w:r>
          <w:rPr>
            <w:rStyle w:val="af1"/>
            <w:rFonts w:ascii="宋体" w:eastAsia="宋体" w:hAnsi="宋体"/>
            <w:color w:val="auto"/>
          </w:rPr>
          <w:t>小区规划、景观与配套</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_Toc182841337 \h </w:instrText>
        </w:r>
        <w:r>
          <w:rPr>
            <w:rFonts w:ascii="宋体" w:eastAsia="宋体" w:hAnsi="宋体"/>
          </w:rPr>
        </w:r>
        <w:r>
          <w:rPr>
            <w:rFonts w:ascii="宋体" w:eastAsia="宋体" w:hAnsi="宋体"/>
          </w:rPr>
          <w:fldChar w:fldCharType="separate"/>
        </w:r>
        <w:r>
          <w:rPr>
            <w:rFonts w:ascii="宋体" w:eastAsia="宋体" w:hAnsi="宋体"/>
          </w:rPr>
          <w:t>10</w:t>
        </w:r>
        <w:r>
          <w:rPr>
            <w:rFonts w:ascii="宋体" w:eastAsia="宋体" w:hAnsi="宋体"/>
          </w:rPr>
          <w:fldChar w:fldCharType="end"/>
        </w:r>
      </w:hyperlink>
    </w:p>
    <w:p w14:paraId="04EA1731" w14:textId="77777777" w:rsidR="00622EE7" w:rsidRDefault="00E60909">
      <w:pPr>
        <w:pStyle w:val="TOC2"/>
        <w:spacing w:line="360" w:lineRule="auto"/>
        <w:jc w:val="both"/>
        <w:rPr>
          <w:rFonts w:ascii="宋体" w:hAnsi="宋体" w:cstheme="minorBidi"/>
          <w:szCs w:val="22"/>
        </w:rPr>
      </w:pPr>
      <w:hyperlink w:anchor="_Toc182841338" w:history="1">
        <w:r>
          <w:rPr>
            <w:rStyle w:val="af1"/>
            <w:rFonts w:ascii="宋体" w:hAnsi="宋体"/>
            <w:color w:val="auto"/>
          </w:rPr>
          <w:t xml:space="preserve">5.1 </w:t>
        </w:r>
        <w:r>
          <w:rPr>
            <w:rStyle w:val="af1"/>
            <w:rFonts w:ascii="宋体" w:hAnsi="宋体"/>
            <w:color w:val="auto"/>
          </w:rPr>
          <w:t>总平面布局</w:t>
        </w:r>
        <w:r>
          <w:rPr>
            <w:rFonts w:ascii="宋体" w:hAnsi="宋体"/>
          </w:rPr>
          <w:tab/>
        </w:r>
        <w:r>
          <w:rPr>
            <w:rFonts w:ascii="宋体" w:hAnsi="宋体"/>
          </w:rPr>
          <w:fldChar w:fldCharType="begin"/>
        </w:r>
        <w:r>
          <w:rPr>
            <w:rFonts w:ascii="宋体" w:hAnsi="宋体"/>
          </w:rPr>
          <w:instrText xml:space="preserve"> PAGEREF _Toc182841338 \h </w:instrText>
        </w:r>
        <w:r>
          <w:rPr>
            <w:rFonts w:ascii="宋体" w:hAnsi="宋体"/>
          </w:rPr>
        </w:r>
        <w:r>
          <w:rPr>
            <w:rFonts w:ascii="宋体" w:hAnsi="宋体"/>
          </w:rPr>
          <w:fldChar w:fldCharType="separate"/>
        </w:r>
        <w:r>
          <w:rPr>
            <w:rFonts w:ascii="宋体" w:hAnsi="宋体"/>
          </w:rPr>
          <w:t>10</w:t>
        </w:r>
        <w:r>
          <w:rPr>
            <w:rFonts w:ascii="宋体" w:hAnsi="宋体"/>
          </w:rPr>
          <w:fldChar w:fldCharType="end"/>
        </w:r>
      </w:hyperlink>
    </w:p>
    <w:p w14:paraId="23886F92" w14:textId="77777777" w:rsidR="00622EE7" w:rsidRDefault="00E60909">
      <w:pPr>
        <w:pStyle w:val="TOC2"/>
        <w:spacing w:line="360" w:lineRule="auto"/>
        <w:jc w:val="both"/>
        <w:rPr>
          <w:rFonts w:ascii="宋体" w:hAnsi="宋体" w:cstheme="minorBidi"/>
          <w:szCs w:val="22"/>
        </w:rPr>
      </w:pPr>
      <w:hyperlink w:anchor="_Toc182841339" w:history="1">
        <w:r>
          <w:rPr>
            <w:rStyle w:val="af1"/>
            <w:rFonts w:ascii="宋体" w:hAnsi="宋体"/>
            <w:color w:val="auto"/>
          </w:rPr>
          <w:t xml:space="preserve">5.2 </w:t>
        </w:r>
        <w:r>
          <w:rPr>
            <w:rStyle w:val="af1"/>
            <w:rFonts w:ascii="宋体" w:hAnsi="宋体"/>
            <w:color w:val="auto"/>
          </w:rPr>
          <w:t>道路与停车</w:t>
        </w:r>
        <w:r>
          <w:rPr>
            <w:rFonts w:ascii="宋体" w:hAnsi="宋体"/>
          </w:rPr>
          <w:tab/>
        </w:r>
        <w:r>
          <w:rPr>
            <w:rFonts w:ascii="宋体" w:hAnsi="宋体"/>
          </w:rPr>
          <w:fldChar w:fldCharType="begin"/>
        </w:r>
        <w:r>
          <w:rPr>
            <w:rFonts w:ascii="宋体" w:hAnsi="宋体"/>
          </w:rPr>
          <w:instrText xml:space="preserve"> PAGEREF _Toc182841339 \h </w:instrText>
        </w:r>
        <w:r>
          <w:rPr>
            <w:rFonts w:ascii="宋体" w:hAnsi="宋体"/>
          </w:rPr>
        </w:r>
        <w:r>
          <w:rPr>
            <w:rFonts w:ascii="宋体" w:hAnsi="宋体"/>
          </w:rPr>
          <w:fldChar w:fldCharType="separate"/>
        </w:r>
        <w:r>
          <w:rPr>
            <w:rFonts w:ascii="宋体" w:hAnsi="宋体"/>
          </w:rPr>
          <w:t>10</w:t>
        </w:r>
        <w:r>
          <w:rPr>
            <w:rFonts w:ascii="宋体" w:hAnsi="宋体"/>
          </w:rPr>
          <w:fldChar w:fldCharType="end"/>
        </w:r>
      </w:hyperlink>
    </w:p>
    <w:p w14:paraId="442CF36E" w14:textId="77777777" w:rsidR="00622EE7" w:rsidRDefault="00E60909">
      <w:pPr>
        <w:pStyle w:val="TOC2"/>
        <w:spacing w:line="360" w:lineRule="auto"/>
        <w:jc w:val="both"/>
        <w:rPr>
          <w:rFonts w:ascii="宋体" w:hAnsi="宋体" w:cstheme="minorBidi"/>
          <w:szCs w:val="22"/>
        </w:rPr>
      </w:pPr>
      <w:hyperlink w:anchor="_Toc182841340" w:history="1">
        <w:r>
          <w:rPr>
            <w:rStyle w:val="af1"/>
            <w:rFonts w:ascii="宋体" w:hAnsi="宋体"/>
            <w:color w:val="auto"/>
          </w:rPr>
          <w:t xml:space="preserve">5.3 </w:t>
        </w:r>
        <w:r>
          <w:rPr>
            <w:rStyle w:val="af1"/>
            <w:rFonts w:ascii="宋体" w:hAnsi="宋体"/>
            <w:color w:val="auto"/>
          </w:rPr>
          <w:t>景观和活动场地</w:t>
        </w:r>
        <w:r>
          <w:rPr>
            <w:rFonts w:ascii="宋体" w:hAnsi="宋体"/>
          </w:rPr>
          <w:tab/>
        </w:r>
        <w:r>
          <w:rPr>
            <w:rFonts w:ascii="宋体" w:hAnsi="宋体"/>
          </w:rPr>
          <w:fldChar w:fldCharType="begin"/>
        </w:r>
        <w:r>
          <w:rPr>
            <w:rFonts w:ascii="宋体" w:hAnsi="宋体"/>
          </w:rPr>
          <w:instrText xml:space="preserve"> PAGEREF _Toc182841340 \h </w:instrText>
        </w:r>
        <w:r>
          <w:rPr>
            <w:rFonts w:ascii="宋体" w:hAnsi="宋体"/>
          </w:rPr>
        </w:r>
        <w:r>
          <w:rPr>
            <w:rFonts w:ascii="宋体" w:hAnsi="宋体"/>
          </w:rPr>
          <w:fldChar w:fldCharType="separate"/>
        </w:r>
        <w:r>
          <w:rPr>
            <w:rFonts w:ascii="宋体" w:hAnsi="宋体"/>
          </w:rPr>
          <w:t>11</w:t>
        </w:r>
        <w:r>
          <w:rPr>
            <w:rFonts w:ascii="宋体" w:hAnsi="宋体"/>
          </w:rPr>
          <w:fldChar w:fldCharType="end"/>
        </w:r>
      </w:hyperlink>
    </w:p>
    <w:p w14:paraId="0B839011" w14:textId="77777777" w:rsidR="00622EE7" w:rsidRDefault="00E60909">
      <w:pPr>
        <w:pStyle w:val="TOC2"/>
        <w:spacing w:line="360" w:lineRule="auto"/>
        <w:jc w:val="both"/>
        <w:rPr>
          <w:rFonts w:ascii="宋体" w:hAnsi="宋体" w:cstheme="minorBidi"/>
          <w:szCs w:val="22"/>
        </w:rPr>
      </w:pPr>
      <w:hyperlink w:anchor="_Toc182841344" w:history="1">
        <w:r>
          <w:rPr>
            <w:rStyle w:val="af1"/>
            <w:rFonts w:ascii="宋体" w:hAnsi="宋体"/>
            <w:color w:val="auto"/>
          </w:rPr>
          <w:t xml:space="preserve">5.4 </w:t>
        </w:r>
        <w:r>
          <w:rPr>
            <w:rStyle w:val="af1"/>
            <w:rFonts w:ascii="宋体" w:hAnsi="宋体"/>
            <w:color w:val="auto"/>
          </w:rPr>
          <w:t>小区配套</w:t>
        </w:r>
        <w:r>
          <w:rPr>
            <w:rFonts w:ascii="宋体" w:hAnsi="宋体"/>
          </w:rPr>
          <w:tab/>
        </w:r>
        <w:r>
          <w:rPr>
            <w:rFonts w:ascii="宋体" w:hAnsi="宋体"/>
          </w:rPr>
          <w:fldChar w:fldCharType="begin"/>
        </w:r>
        <w:r>
          <w:rPr>
            <w:rFonts w:ascii="宋体" w:hAnsi="宋体"/>
          </w:rPr>
          <w:instrText xml:space="preserve"> PAGEREF _Toc182841344 \h </w:instrText>
        </w:r>
        <w:r>
          <w:rPr>
            <w:rFonts w:ascii="宋体" w:hAnsi="宋体"/>
          </w:rPr>
        </w:r>
        <w:r>
          <w:rPr>
            <w:rFonts w:ascii="宋体" w:hAnsi="宋体"/>
          </w:rPr>
          <w:fldChar w:fldCharType="separate"/>
        </w:r>
        <w:r>
          <w:rPr>
            <w:rFonts w:ascii="宋体" w:hAnsi="宋体"/>
          </w:rPr>
          <w:t>14</w:t>
        </w:r>
        <w:r>
          <w:rPr>
            <w:rFonts w:ascii="宋体" w:hAnsi="宋体"/>
          </w:rPr>
          <w:fldChar w:fldCharType="end"/>
        </w:r>
      </w:hyperlink>
    </w:p>
    <w:p w14:paraId="513A8C21" w14:textId="77777777" w:rsidR="00622EE7" w:rsidRDefault="00E60909">
      <w:pPr>
        <w:pStyle w:val="TOC1"/>
        <w:spacing w:line="360" w:lineRule="auto"/>
        <w:jc w:val="both"/>
        <w:rPr>
          <w:rFonts w:ascii="宋体" w:eastAsia="宋体" w:hAnsi="宋体" w:cstheme="minorBidi"/>
          <w:sz w:val="21"/>
        </w:rPr>
      </w:pPr>
      <w:hyperlink w:anchor="_Toc182841348" w:history="1">
        <w:r>
          <w:rPr>
            <w:rStyle w:val="af1"/>
            <w:rFonts w:ascii="宋体" w:eastAsia="宋体" w:hAnsi="宋体"/>
            <w:color w:val="auto"/>
          </w:rPr>
          <w:t xml:space="preserve">6  </w:t>
        </w:r>
        <w:r>
          <w:rPr>
            <w:rStyle w:val="af1"/>
            <w:rFonts w:ascii="宋体" w:eastAsia="宋体" w:hAnsi="宋体"/>
            <w:color w:val="auto"/>
          </w:rPr>
          <w:t>建筑设计</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_Toc182841348 \h </w:instrText>
        </w:r>
        <w:r>
          <w:rPr>
            <w:rFonts w:ascii="宋体" w:eastAsia="宋体" w:hAnsi="宋体"/>
          </w:rPr>
        </w:r>
        <w:r>
          <w:rPr>
            <w:rFonts w:ascii="宋体" w:eastAsia="宋体" w:hAnsi="宋体"/>
          </w:rPr>
          <w:fldChar w:fldCharType="separate"/>
        </w:r>
        <w:r>
          <w:rPr>
            <w:rFonts w:ascii="宋体" w:eastAsia="宋体" w:hAnsi="宋体"/>
          </w:rPr>
          <w:t>16</w:t>
        </w:r>
        <w:r>
          <w:rPr>
            <w:rFonts w:ascii="宋体" w:eastAsia="宋体" w:hAnsi="宋体"/>
          </w:rPr>
          <w:fldChar w:fldCharType="end"/>
        </w:r>
      </w:hyperlink>
    </w:p>
    <w:p w14:paraId="4E1EB16B" w14:textId="77777777" w:rsidR="00622EE7" w:rsidRDefault="00E60909">
      <w:pPr>
        <w:pStyle w:val="TOC2"/>
        <w:spacing w:line="360" w:lineRule="auto"/>
        <w:jc w:val="both"/>
        <w:rPr>
          <w:rFonts w:ascii="宋体" w:hAnsi="宋体" w:cstheme="minorBidi"/>
          <w:szCs w:val="22"/>
        </w:rPr>
      </w:pPr>
      <w:hyperlink w:anchor="_Toc182841349" w:history="1">
        <w:r>
          <w:rPr>
            <w:rStyle w:val="af1"/>
            <w:rFonts w:ascii="宋体" w:hAnsi="宋体"/>
            <w:color w:val="auto"/>
          </w:rPr>
          <w:t xml:space="preserve">6.1 </w:t>
        </w:r>
        <w:r>
          <w:rPr>
            <w:rStyle w:val="af1"/>
            <w:rFonts w:ascii="宋体" w:hAnsi="宋体"/>
            <w:color w:val="auto"/>
          </w:rPr>
          <w:t>建筑外观</w:t>
        </w:r>
        <w:r>
          <w:rPr>
            <w:rFonts w:ascii="宋体" w:hAnsi="宋体"/>
          </w:rPr>
          <w:tab/>
        </w:r>
        <w:r>
          <w:rPr>
            <w:rFonts w:ascii="宋体" w:hAnsi="宋体"/>
          </w:rPr>
          <w:fldChar w:fldCharType="begin"/>
        </w:r>
        <w:r>
          <w:rPr>
            <w:rFonts w:ascii="宋体" w:hAnsi="宋体"/>
          </w:rPr>
          <w:instrText xml:space="preserve"> PAGEREF _Toc182841349 \h </w:instrText>
        </w:r>
        <w:r>
          <w:rPr>
            <w:rFonts w:ascii="宋体" w:hAnsi="宋体"/>
          </w:rPr>
        </w:r>
        <w:r>
          <w:rPr>
            <w:rFonts w:ascii="宋体" w:hAnsi="宋体"/>
          </w:rPr>
          <w:fldChar w:fldCharType="separate"/>
        </w:r>
        <w:r>
          <w:rPr>
            <w:rFonts w:ascii="宋体" w:hAnsi="宋体"/>
          </w:rPr>
          <w:t>16</w:t>
        </w:r>
        <w:r>
          <w:rPr>
            <w:rFonts w:ascii="宋体" w:hAnsi="宋体"/>
          </w:rPr>
          <w:fldChar w:fldCharType="end"/>
        </w:r>
      </w:hyperlink>
    </w:p>
    <w:p w14:paraId="0A893123" w14:textId="77777777" w:rsidR="00622EE7" w:rsidRDefault="00E60909">
      <w:pPr>
        <w:pStyle w:val="TOC2"/>
        <w:spacing w:line="360" w:lineRule="auto"/>
        <w:jc w:val="both"/>
        <w:rPr>
          <w:rFonts w:ascii="宋体" w:hAnsi="宋体" w:cstheme="minorBidi"/>
          <w:szCs w:val="22"/>
        </w:rPr>
      </w:pPr>
      <w:hyperlink w:anchor="_Toc182841350" w:history="1">
        <w:r>
          <w:rPr>
            <w:rStyle w:val="af1"/>
            <w:rFonts w:ascii="宋体" w:hAnsi="宋体"/>
            <w:color w:val="auto"/>
          </w:rPr>
          <w:t xml:space="preserve">6.2 </w:t>
        </w:r>
        <w:r>
          <w:rPr>
            <w:rStyle w:val="af1"/>
            <w:rFonts w:ascii="宋体" w:hAnsi="宋体"/>
            <w:color w:val="auto"/>
          </w:rPr>
          <w:t>公共空间</w:t>
        </w:r>
        <w:r>
          <w:rPr>
            <w:rFonts w:ascii="宋体" w:hAnsi="宋体"/>
          </w:rPr>
          <w:tab/>
        </w:r>
        <w:r>
          <w:rPr>
            <w:rFonts w:ascii="宋体" w:hAnsi="宋体"/>
          </w:rPr>
          <w:fldChar w:fldCharType="begin"/>
        </w:r>
        <w:r>
          <w:rPr>
            <w:rFonts w:ascii="宋体" w:hAnsi="宋体"/>
          </w:rPr>
          <w:instrText xml:space="preserve"> PAGEREF _Toc182841350 \h </w:instrText>
        </w:r>
        <w:r>
          <w:rPr>
            <w:rFonts w:ascii="宋体" w:hAnsi="宋体"/>
          </w:rPr>
        </w:r>
        <w:r>
          <w:rPr>
            <w:rFonts w:ascii="宋体" w:hAnsi="宋体"/>
          </w:rPr>
          <w:fldChar w:fldCharType="separate"/>
        </w:r>
        <w:r>
          <w:rPr>
            <w:rFonts w:ascii="宋体" w:hAnsi="宋体"/>
          </w:rPr>
          <w:t>16</w:t>
        </w:r>
        <w:r>
          <w:rPr>
            <w:rFonts w:ascii="宋体" w:hAnsi="宋体"/>
          </w:rPr>
          <w:fldChar w:fldCharType="end"/>
        </w:r>
      </w:hyperlink>
    </w:p>
    <w:p w14:paraId="4C2EC855" w14:textId="77777777" w:rsidR="00622EE7" w:rsidRDefault="00E60909">
      <w:pPr>
        <w:pStyle w:val="TOC2"/>
        <w:spacing w:line="360" w:lineRule="auto"/>
        <w:jc w:val="both"/>
        <w:rPr>
          <w:rFonts w:ascii="宋体" w:hAnsi="宋体" w:cstheme="minorBidi"/>
          <w:szCs w:val="22"/>
        </w:rPr>
      </w:pPr>
      <w:hyperlink w:anchor="_Toc182841353" w:history="1">
        <w:r>
          <w:rPr>
            <w:rStyle w:val="af1"/>
            <w:rFonts w:ascii="宋体" w:hAnsi="宋体"/>
            <w:color w:val="auto"/>
          </w:rPr>
          <w:t xml:space="preserve">6.3 </w:t>
        </w:r>
        <w:r>
          <w:rPr>
            <w:rStyle w:val="af1"/>
            <w:rFonts w:ascii="宋体" w:hAnsi="宋体"/>
            <w:color w:val="auto"/>
          </w:rPr>
          <w:t>户型设计</w:t>
        </w:r>
        <w:r>
          <w:rPr>
            <w:rFonts w:ascii="宋体" w:hAnsi="宋体"/>
          </w:rPr>
          <w:tab/>
        </w:r>
        <w:r>
          <w:rPr>
            <w:rFonts w:ascii="宋体" w:hAnsi="宋体"/>
          </w:rPr>
          <w:fldChar w:fldCharType="begin"/>
        </w:r>
        <w:r>
          <w:rPr>
            <w:rFonts w:ascii="宋体" w:hAnsi="宋体"/>
          </w:rPr>
          <w:instrText xml:space="preserve"> PAGEREF _Toc182841353 \h </w:instrText>
        </w:r>
        <w:r>
          <w:rPr>
            <w:rFonts w:ascii="宋体" w:hAnsi="宋体"/>
          </w:rPr>
        </w:r>
        <w:r>
          <w:rPr>
            <w:rFonts w:ascii="宋体" w:hAnsi="宋体"/>
          </w:rPr>
          <w:fldChar w:fldCharType="separate"/>
        </w:r>
        <w:r>
          <w:rPr>
            <w:rFonts w:ascii="宋体" w:hAnsi="宋体"/>
          </w:rPr>
          <w:t>18</w:t>
        </w:r>
        <w:r>
          <w:rPr>
            <w:rFonts w:ascii="宋体" w:hAnsi="宋体"/>
          </w:rPr>
          <w:fldChar w:fldCharType="end"/>
        </w:r>
      </w:hyperlink>
    </w:p>
    <w:p w14:paraId="39C83CB2" w14:textId="77777777" w:rsidR="00622EE7" w:rsidRDefault="00E60909">
      <w:pPr>
        <w:pStyle w:val="TOC1"/>
        <w:spacing w:line="360" w:lineRule="auto"/>
        <w:jc w:val="both"/>
        <w:rPr>
          <w:rFonts w:ascii="宋体" w:eastAsia="宋体" w:hAnsi="宋体" w:cstheme="minorBidi"/>
          <w:sz w:val="21"/>
        </w:rPr>
      </w:pPr>
      <w:hyperlink w:anchor="_Toc182841354" w:history="1">
        <w:r>
          <w:rPr>
            <w:rStyle w:val="af1"/>
            <w:rFonts w:ascii="宋体" w:eastAsia="宋体" w:hAnsi="宋体"/>
            <w:color w:val="auto"/>
          </w:rPr>
          <w:t xml:space="preserve">7  </w:t>
        </w:r>
        <w:r>
          <w:rPr>
            <w:rStyle w:val="af1"/>
            <w:rFonts w:ascii="宋体" w:eastAsia="宋体" w:hAnsi="宋体"/>
            <w:color w:val="auto"/>
          </w:rPr>
          <w:t>建筑结构</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_Toc182841354 \h </w:instrText>
        </w:r>
        <w:r>
          <w:rPr>
            <w:rFonts w:ascii="宋体" w:eastAsia="宋体" w:hAnsi="宋体"/>
          </w:rPr>
        </w:r>
        <w:r>
          <w:rPr>
            <w:rFonts w:ascii="宋体" w:eastAsia="宋体" w:hAnsi="宋体"/>
          </w:rPr>
          <w:fldChar w:fldCharType="separate"/>
        </w:r>
        <w:r>
          <w:rPr>
            <w:rFonts w:ascii="宋体" w:eastAsia="宋体" w:hAnsi="宋体"/>
          </w:rPr>
          <w:t>20</w:t>
        </w:r>
        <w:r>
          <w:rPr>
            <w:rFonts w:ascii="宋体" w:eastAsia="宋体" w:hAnsi="宋体"/>
          </w:rPr>
          <w:fldChar w:fldCharType="end"/>
        </w:r>
      </w:hyperlink>
    </w:p>
    <w:p w14:paraId="51CD4E02" w14:textId="77777777" w:rsidR="00622EE7" w:rsidRDefault="00E60909">
      <w:pPr>
        <w:pStyle w:val="TOC2"/>
        <w:spacing w:line="360" w:lineRule="auto"/>
        <w:jc w:val="both"/>
        <w:rPr>
          <w:rFonts w:ascii="宋体" w:hAnsi="宋体" w:cstheme="minorBidi"/>
          <w:szCs w:val="22"/>
        </w:rPr>
      </w:pPr>
      <w:hyperlink w:anchor="_Toc182841355" w:history="1">
        <w:r>
          <w:rPr>
            <w:rStyle w:val="af1"/>
            <w:rFonts w:ascii="宋体" w:hAnsi="宋体"/>
            <w:color w:val="auto"/>
          </w:rPr>
          <w:t xml:space="preserve">7.1 </w:t>
        </w:r>
        <w:r>
          <w:rPr>
            <w:rStyle w:val="af1"/>
            <w:rFonts w:ascii="宋体" w:hAnsi="宋体"/>
            <w:color w:val="auto"/>
          </w:rPr>
          <w:t>结构体系和材料</w:t>
        </w:r>
        <w:r>
          <w:rPr>
            <w:rFonts w:ascii="宋体" w:hAnsi="宋体"/>
          </w:rPr>
          <w:tab/>
        </w:r>
        <w:r>
          <w:rPr>
            <w:rFonts w:ascii="宋体" w:hAnsi="宋体"/>
          </w:rPr>
          <w:fldChar w:fldCharType="begin"/>
        </w:r>
        <w:r>
          <w:rPr>
            <w:rFonts w:ascii="宋体" w:hAnsi="宋体"/>
          </w:rPr>
          <w:instrText xml:space="preserve"> PAGEREF _Toc182841355 \h </w:instrText>
        </w:r>
        <w:r>
          <w:rPr>
            <w:rFonts w:ascii="宋体" w:hAnsi="宋体"/>
          </w:rPr>
        </w:r>
        <w:r>
          <w:rPr>
            <w:rFonts w:ascii="宋体" w:hAnsi="宋体"/>
          </w:rPr>
          <w:fldChar w:fldCharType="separate"/>
        </w:r>
        <w:r>
          <w:rPr>
            <w:rFonts w:ascii="宋体" w:hAnsi="宋体"/>
          </w:rPr>
          <w:t>20</w:t>
        </w:r>
        <w:r>
          <w:rPr>
            <w:rFonts w:ascii="宋体" w:hAnsi="宋体"/>
          </w:rPr>
          <w:fldChar w:fldCharType="end"/>
        </w:r>
      </w:hyperlink>
    </w:p>
    <w:p w14:paraId="4C36784B" w14:textId="77777777" w:rsidR="00622EE7" w:rsidRDefault="00E60909">
      <w:pPr>
        <w:pStyle w:val="TOC2"/>
        <w:spacing w:line="360" w:lineRule="auto"/>
        <w:jc w:val="both"/>
        <w:rPr>
          <w:rFonts w:ascii="宋体" w:hAnsi="宋体" w:cstheme="minorBidi"/>
          <w:szCs w:val="22"/>
        </w:rPr>
      </w:pPr>
      <w:hyperlink w:anchor="_Toc182841356" w:history="1">
        <w:r>
          <w:rPr>
            <w:rStyle w:val="af1"/>
            <w:rFonts w:ascii="宋体" w:hAnsi="宋体"/>
            <w:color w:val="auto"/>
          </w:rPr>
          <w:t xml:space="preserve">7.2 </w:t>
        </w:r>
        <w:r>
          <w:rPr>
            <w:rStyle w:val="af1"/>
            <w:rFonts w:ascii="宋体" w:hAnsi="宋体"/>
            <w:color w:val="auto"/>
          </w:rPr>
          <w:t>地上结构</w:t>
        </w:r>
        <w:r>
          <w:rPr>
            <w:rFonts w:ascii="宋体" w:hAnsi="宋体"/>
          </w:rPr>
          <w:tab/>
        </w:r>
        <w:r>
          <w:rPr>
            <w:rFonts w:ascii="宋体" w:hAnsi="宋体"/>
          </w:rPr>
          <w:fldChar w:fldCharType="begin"/>
        </w:r>
        <w:r>
          <w:rPr>
            <w:rFonts w:ascii="宋体" w:hAnsi="宋体"/>
          </w:rPr>
          <w:instrText xml:space="preserve"> PAGEREF _Toc182841356 \h </w:instrText>
        </w:r>
        <w:r>
          <w:rPr>
            <w:rFonts w:ascii="宋体" w:hAnsi="宋体"/>
          </w:rPr>
        </w:r>
        <w:r>
          <w:rPr>
            <w:rFonts w:ascii="宋体" w:hAnsi="宋体"/>
          </w:rPr>
          <w:fldChar w:fldCharType="separate"/>
        </w:r>
        <w:r>
          <w:rPr>
            <w:rFonts w:ascii="宋体" w:hAnsi="宋体"/>
          </w:rPr>
          <w:t>20</w:t>
        </w:r>
        <w:r>
          <w:rPr>
            <w:rFonts w:ascii="宋体" w:hAnsi="宋体"/>
          </w:rPr>
          <w:fldChar w:fldCharType="end"/>
        </w:r>
      </w:hyperlink>
    </w:p>
    <w:p w14:paraId="60B1BFB8" w14:textId="77777777" w:rsidR="00622EE7" w:rsidRDefault="00E60909">
      <w:pPr>
        <w:pStyle w:val="TOC2"/>
        <w:spacing w:line="360" w:lineRule="auto"/>
        <w:jc w:val="both"/>
        <w:rPr>
          <w:rFonts w:ascii="宋体" w:hAnsi="宋体" w:cstheme="minorBidi"/>
          <w:szCs w:val="22"/>
        </w:rPr>
      </w:pPr>
      <w:hyperlink w:anchor="_Toc182841357" w:history="1">
        <w:r>
          <w:rPr>
            <w:rStyle w:val="af1"/>
            <w:rFonts w:ascii="宋体" w:hAnsi="宋体"/>
            <w:color w:val="auto"/>
          </w:rPr>
          <w:t xml:space="preserve">7.3 </w:t>
        </w:r>
        <w:r>
          <w:rPr>
            <w:rStyle w:val="af1"/>
            <w:rFonts w:ascii="宋体" w:hAnsi="宋体"/>
            <w:color w:val="auto"/>
          </w:rPr>
          <w:t>地下结构和基础</w:t>
        </w:r>
        <w:r>
          <w:rPr>
            <w:rFonts w:ascii="宋体" w:hAnsi="宋体"/>
          </w:rPr>
          <w:tab/>
        </w:r>
        <w:r>
          <w:rPr>
            <w:rFonts w:ascii="宋体" w:hAnsi="宋体"/>
          </w:rPr>
          <w:fldChar w:fldCharType="begin"/>
        </w:r>
        <w:r>
          <w:rPr>
            <w:rFonts w:ascii="宋体" w:hAnsi="宋体"/>
          </w:rPr>
          <w:instrText xml:space="preserve"> PAGEREF _Toc182841357 \h </w:instrText>
        </w:r>
        <w:r>
          <w:rPr>
            <w:rFonts w:ascii="宋体" w:hAnsi="宋体"/>
          </w:rPr>
        </w:r>
        <w:r>
          <w:rPr>
            <w:rFonts w:ascii="宋体" w:hAnsi="宋体"/>
          </w:rPr>
          <w:fldChar w:fldCharType="separate"/>
        </w:r>
        <w:r>
          <w:rPr>
            <w:rFonts w:ascii="宋体" w:hAnsi="宋体"/>
          </w:rPr>
          <w:t>21</w:t>
        </w:r>
        <w:r>
          <w:rPr>
            <w:rFonts w:ascii="宋体" w:hAnsi="宋体"/>
          </w:rPr>
          <w:fldChar w:fldCharType="end"/>
        </w:r>
      </w:hyperlink>
    </w:p>
    <w:p w14:paraId="1E14D3F5" w14:textId="77777777" w:rsidR="00622EE7" w:rsidRDefault="00E60909">
      <w:pPr>
        <w:pStyle w:val="TOC1"/>
        <w:spacing w:line="360" w:lineRule="auto"/>
        <w:jc w:val="both"/>
        <w:rPr>
          <w:rFonts w:ascii="宋体" w:eastAsia="宋体" w:hAnsi="宋体" w:cstheme="minorBidi"/>
          <w:sz w:val="21"/>
        </w:rPr>
      </w:pPr>
      <w:hyperlink w:anchor="_Toc182841358" w:history="1">
        <w:r>
          <w:rPr>
            <w:rStyle w:val="af1"/>
            <w:rFonts w:ascii="宋体" w:eastAsia="宋体" w:hAnsi="宋体"/>
            <w:color w:val="auto"/>
          </w:rPr>
          <w:t xml:space="preserve">8 </w:t>
        </w:r>
        <w:r>
          <w:rPr>
            <w:rStyle w:val="af1"/>
            <w:rFonts w:ascii="宋体" w:eastAsia="宋体" w:hAnsi="宋体"/>
            <w:color w:val="auto"/>
          </w:rPr>
          <w:t>建筑材料和构造</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_Toc182841358 \h </w:instrText>
        </w:r>
        <w:r>
          <w:rPr>
            <w:rFonts w:ascii="宋体" w:eastAsia="宋体" w:hAnsi="宋体"/>
          </w:rPr>
        </w:r>
        <w:r>
          <w:rPr>
            <w:rFonts w:ascii="宋体" w:eastAsia="宋体" w:hAnsi="宋体"/>
          </w:rPr>
          <w:fldChar w:fldCharType="separate"/>
        </w:r>
        <w:r>
          <w:rPr>
            <w:rFonts w:ascii="宋体" w:eastAsia="宋体" w:hAnsi="宋体"/>
          </w:rPr>
          <w:t>22</w:t>
        </w:r>
        <w:r>
          <w:rPr>
            <w:rFonts w:ascii="宋体" w:eastAsia="宋体" w:hAnsi="宋体"/>
          </w:rPr>
          <w:fldChar w:fldCharType="end"/>
        </w:r>
      </w:hyperlink>
    </w:p>
    <w:p w14:paraId="201416E0" w14:textId="77777777" w:rsidR="00622EE7" w:rsidRDefault="00E60909">
      <w:pPr>
        <w:pStyle w:val="TOC2"/>
        <w:spacing w:line="360" w:lineRule="auto"/>
        <w:jc w:val="both"/>
        <w:rPr>
          <w:rFonts w:ascii="宋体" w:hAnsi="宋体" w:cstheme="minorBidi"/>
          <w:szCs w:val="22"/>
        </w:rPr>
      </w:pPr>
      <w:hyperlink w:anchor="_Toc182841359" w:history="1">
        <w:r>
          <w:rPr>
            <w:rStyle w:val="af1"/>
            <w:rFonts w:ascii="宋体" w:hAnsi="宋体"/>
            <w:color w:val="auto"/>
          </w:rPr>
          <w:t xml:space="preserve">8.1 </w:t>
        </w:r>
        <w:r>
          <w:rPr>
            <w:rStyle w:val="af1"/>
            <w:rFonts w:ascii="宋体" w:hAnsi="宋体"/>
            <w:color w:val="auto"/>
          </w:rPr>
          <w:t>隔声</w:t>
        </w:r>
        <w:r>
          <w:rPr>
            <w:rFonts w:ascii="宋体" w:hAnsi="宋体"/>
          </w:rPr>
          <w:tab/>
        </w:r>
        <w:r>
          <w:rPr>
            <w:rFonts w:ascii="宋体" w:hAnsi="宋体"/>
          </w:rPr>
          <w:fldChar w:fldCharType="begin"/>
        </w:r>
        <w:r>
          <w:rPr>
            <w:rFonts w:ascii="宋体" w:hAnsi="宋体"/>
          </w:rPr>
          <w:instrText xml:space="preserve"> PAGEREF _T</w:instrText>
        </w:r>
        <w:r>
          <w:rPr>
            <w:rFonts w:ascii="宋体" w:hAnsi="宋体"/>
          </w:rPr>
          <w:instrText xml:space="preserve">oc182841359 \h </w:instrText>
        </w:r>
        <w:r>
          <w:rPr>
            <w:rFonts w:ascii="宋体" w:hAnsi="宋体"/>
          </w:rPr>
        </w:r>
        <w:r>
          <w:rPr>
            <w:rFonts w:ascii="宋体" w:hAnsi="宋体"/>
          </w:rPr>
          <w:fldChar w:fldCharType="separate"/>
        </w:r>
        <w:r>
          <w:rPr>
            <w:rFonts w:ascii="宋体" w:hAnsi="宋体"/>
          </w:rPr>
          <w:t>22</w:t>
        </w:r>
        <w:r>
          <w:rPr>
            <w:rFonts w:ascii="宋体" w:hAnsi="宋体"/>
          </w:rPr>
          <w:fldChar w:fldCharType="end"/>
        </w:r>
      </w:hyperlink>
    </w:p>
    <w:p w14:paraId="3DBE640B" w14:textId="77777777" w:rsidR="00622EE7" w:rsidRDefault="00E60909">
      <w:pPr>
        <w:pStyle w:val="TOC2"/>
        <w:spacing w:line="360" w:lineRule="auto"/>
        <w:jc w:val="both"/>
        <w:rPr>
          <w:rFonts w:ascii="宋体" w:hAnsi="宋体" w:cstheme="minorBidi"/>
          <w:szCs w:val="22"/>
        </w:rPr>
      </w:pPr>
      <w:hyperlink w:anchor="_Toc182841360" w:history="1">
        <w:r>
          <w:rPr>
            <w:rStyle w:val="af1"/>
            <w:rFonts w:ascii="宋体" w:hAnsi="宋体"/>
            <w:color w:val="auto"/>
          </w:rPr>
          <w:t xml:space="preserve">8.2 </w:t>
        </w:r>
        <w:r>
          <w:rPr>
            <w:rStyle w:val="af1"/>
            <w:rFonts w:ascii="宋体" w:hAnsi="宋体"/>
            <w:color w:val="auto"/>
          </w:rPr>
          <w:t>防水</w:t>
        </w:r>
        <w:r>
          <w:rPr>
            <w:rFonts w:ascii="宋体" w:hAnsi="宋体"/>
          </w:rPr>
          <w:tab/>
        </w:r>
        <w:r>
          <w:rPr>
            <w:rFonts w:ascii="宋体" w:hAnsi="宋体"/>
          </w:rPr>
          <w:fldChar w:fldCharType="begin"/>
        </w:r>
        <w:r>
          <w:rPr>
            <w:rFonts w:ascii="宋体" w:hAnsi="宋体"/>
          </w:rPr>
          <w:instrText xml:space="preserve"> PAGEREF _Toc182841360 \h </w:instrText>
        </w:r>
        <w:r>
          <w:rPr>
            <w:rFonts w:ascii="宋体" w:hAnsi="宋体"/>
          </w:rPr>
        </w:r>
        <w:r>
          <w:rPr>
            <w:rFonts w:ascii="宋体" w:hAnsi="宋体"/>
          </w:rPr>
          <w:fldChar w:fldCharType="separate"/>
        </w:r>
        <w:r>
          <w:rPr>
            <w:rFonts w:ascii="宋体" w:hAnsi="宋体"/>
          </w:rPr>
          <w:t>24</w:t>
        </w:r>
        <w:r>
          <w:rPr>
            <w:rFonts w:ascii="宋体" w:hAnsi="宋体"/>
          </w:rPr>
          <w:fldChar w:fldCharType="end"/>
        </w:r>
      </w:hyperlink>
    </w:p>
    <w:p w14:paraId="4C10DD93" w14:textId="77777777" w:rsidR="00622EE7" w:rsidRDefault="00E60909">
      <w:pPr>
        <w:pStyle w:val="TOC2"/>
        <w:spacing w:line="360" w:lineRule="auto"/>
        <w:jc w:val="both"/>
        <w:rPr>
          <w:rFonts w:ascii="宋体" w:hAnsi="宋体" w:cstheme="minorBidi"/>
          <w:szCs w:val="22"/>
        </w:rPr>
      </w:pPr>
      <w:hyperlink w:anchor="_Toc182841361" w:history="1">
        <w:r>
          <w:rPr>
            <w:rStyle w:val="af1"/>
            <w:rFonts w:ascii="宋体" w:hAnsi="宋体"/>
            <w:color w:val="auto"/>
          </w:rPr>
          <w:t>8.</w:t>
        </w:r>
        <w:r>
          <w:rPr>
            <w:rStyle w:val="af1"/>
            <w:rFonts w:ascii="宋体" w:hAnsi="宋体"/>
            <w:color w:val="auto"/>
          </w:rPr>
          <w:t xml:space="preserve">3 </w:t>
        </w:r>
        <w:r>
          <w:rPr>
            <w:rStyle w:val="af1"/>
            <w:rFonts w:ascii="宋体" w:hAnsi="宋体"/>
            <w:color w:val="auto"/>
          </w:rPr>
          <w:t>保温</w:t>
        </w:r>
        <w:r>
          <w:rPr>
            <w:rFonts w:ascii="宋体" w:hAnsi="宋体"/>
          </w:rPr>
          <w:tab/>
        </w:r>
        <w:r>
          <w:rPr>
            <w:rFonts w:ascii="宋体" w:hAnsi="宋体"/>
          </w:rPr>
          <w:fldChar w:fldCharType="begin"/>
        </w:r>
        <w:r>
          <w:rPr>
            <w:rFonts w:ascii="宋体" w:hAnsi="宋体"/>
          </w:rPr>
          <w:instrText xml:space="preserve"> PAGEREF _Toc182841361 \h </w:instrText>
        </w:r>
        <w:r>
          <w:rPr>
            <w:rFonts w:ascii="宋体" w:hAnsi="宋体"/>
          </w:rPr>
        </w:r>
        <w:r>
          <w:rPr>
            <w:rFonts w:ascii="宋体" w:hAnsi="宋体"/>
          </w:rPr>
          <w:fldChar w:fldCharType="separate"/>
        </w:r>
        <w:r>
          <w:rPr>
            <w:rFonts w:ascii="宋体" w:hAnsi="宋体"/>
          </w:rPr>
          <w:t>26</w:t>
        </w:r>
        <w:r>
          <w:rPr>
            <w:rFonts w:ascii="宋体" w:hAnsi="宋体"/>
          </w:rPr>
          <w:fldChar w:fldCharType="end"/>
        </w:r>
      </w:hyperlink>
    </w:p>
    <w:p w14:paraId="3E11399A" w14:textId="77777777" w:rsidR="00622EE7" w:rsidRDefault="00E60909">
      <w:pPr>
        <w:pStyle w:val="TOC2"/>
        <w:spacing w:line="360" w:lineRule="auto"/>
        <w:jc w:val="both"/>
        <w:rPr>
          <w:rFonts w:ascii="宋体" w:hAnsi="宋体" w:cstheme="minorBidi"/>
          <w:szCs w:val="22"/>
        </w:rPr>
      </w:pPr>
      <w:hyperlink w:anchor="_Toc182841362" w:history="1">
        <w:r>
          <w:rPr>
            <w:rStyle w:val="af1"/>
            <w:rFonts w:ascii="宋体" w:hAnsi="宋体"/>
            <w:color w:val="auto"/>
          </w:rPr>
          <w:t xml:space="preserve">8.4 </w:t>
        </w:r>
        <w:r>
          <w:rPr>
            <w:rStyle w:val="af1"/>
            <w:rFonts w:ascii="宋体" w:hAnsi="宋体"/>
            <w:color w:val="auto"/>
          </w:rPr>
          <w:t>装饰装修</w:t>
        </w:r>
        <w:r>
          <w:rPr>
            <w:rFonts w:ascii="宋体" w:hAnsi="宋体"/>
          </w:rPr>
          <w:tab/>
        </w:r>
        <w:r>
          <w:rPr>
            <w:rFonts w:ascii="宋体" w:hAnsi="宋体"/>
          </w:rPr>
          <w:fldChar w:fldCharType="begin"/>
        </w:r>
        <w:r>
          <w:rPr>
            <w:rFonts w:ascii="宋体" w:hAnsi="宋体"/>
          </w:rPr>
          <w:instrText xml:space="preserve"> PAGEREF _Toc182841362 \h </w:instrText>
        </w:r>
        <w:r>
          <w:rPr>
            <w:rFonts w:ascii="宋体" w:hAnsi="宋体"/>
          </w:rPr>
        </w:r>
        <w:r>
          <w:rPr>
            <w:rFonts w:ascii="宋体" w:hAnsi="宋体"/>
          </w:rPr>
          <w:fldChar w:fldCharType="separate"/>
        </w:r>
        <w:r>
          <w:rPr>
            <w:rFonts w:ascii="宋体" w:hAnsi="宋体"/>
          </w:rPr>
          <w:t>28</w:t>
        </w:r>
        <w:r>
          <w:rPr>
            <w:rFonts w:ascii="宋体" w:hAnsi="宋体"/>
          </w:rPr>
          <w:fldChar w:fldCharType="end"/>
        </w:r>
      </w:hyperlink>
    </w:p>
    <w:p w14:paraId="35DBA3AF" w14:textId="77777777" w:rsidR="00622EE7" w:rsidRDefault="00E60909">
      <w:pPr>
        <w:pStyle w:val="TOC1"/>
        <w:spacing w:line="360" w:lineRule="auto"/>
        <w:jc w:val="both"/>
        <w:rPr>
          <w:rFonts w:ascii="宋体" w:eastAsia="宋体" w:hAnsi="宋体" w:cstheme="minorBidi"/>
          <w:sz w:val="21"/>
        </w:rPr>
      </w:pPr>
      <w:hyperlink w:anchor="_Toc182841363" w:history="1">
        <w:r>
          <w:rPr>
            <w:rStyle w:val="af1"/>
            <w:rFonts w:ascii="宋体" w:eastAsia="宋体" w:hAnsi="宋体"/>
            <w:color w:val="auto"/>
          </w:rPr>
          <w:t xml:space="preserve">9  </w:t>
        </w:r>
        <w:r>
          <w:rPr>
            <w:rStyle w:val="af1"/>
            <w:rFonts w:ascii="宋体" w:eastAsia="宋体" w:hAnsi="宋体"/>
            <w:color w:val="auto"/>
          </w:rPr>
          <w:t>给水排水</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_Toc182841363 \h </w:instrText>
        </w:r>
        <w:r>
          <w:rPr>
            <w:rFonts w:ascii="宋体" w:eastAsia="宋体" w:hAnsi="宋体"/>
          </w:rPr>
        </w:r>
        <w:r>
          <w:rPr>
            <w:rFonts w:ascii="宋体" w:eastAsia="宋体" w:hAnsi="宋体"/>
          </w:rPr>
          <w:fldChar w:fldCharType="separate"/>
        </w:r>
        <w:r>
          <w:rPr>
            <w:rFonts w:ascii="宋体" w:eastAsia="宋体" w:hAnsi="宋体"/>
          </w:rPr>
          <w:t>30</w:t>
        </w:r>
        <w:r>
          <w:rPr>
            <w:rFonts w:ascii="宋体" w:eastAsia="宋体" w:hAnsi="宋体"/>
          </w:rPr>
          <w:fldChar w:fldCharType="end"/>
        </w:r>
      </w:hyperlink>
    </w:p>
    <w:p w14:paraId="46234924" w14:textId="77777777" w:rsidR="00622EE7" w:rsidRDefault="00E60909">
      <w:pPr>
        <w:pStyle w:val="TOC2"/>
        <w:spacing w:line="360" w:lineRule="auto"/>
        <w:jc w:val="both"/>
        <w:rPr>
          <w:rFonts w:ascii="宋体" w:hAnsi="宋体" w:cstheme="minorBidi"/>
          <w:szCs w:val="22"/>
        </w:rPr>
      </w:pPr>
      <w:hyperlink w:anchor="_Toc182841364" w:history="1">
        <w:r>
          <w:rPr>
            <w:rStyle w:val="af1"/>
            <w:rFonts w:ascii="宋体" w:hAnsi="宋体"/>
            <w:color w:val="auto"/>
          </w:rPr>
          <w:t xml:space="preserve">9.1 </w:t>
        </w:r>
        <w:r>
          <w:rPr>
            <w:rStyle w:val="af1"/>
            <w:rFonts w:ascii="宋体" w:hAnsi="宋体"/>
            <w:color w:val="auto"/>
          </w:rPr>
          <w:t>给水</w:t>
        </w:r>
        <w:r>
          <w:rPr>
            <w:rFonts w:ascii="宋体" w:hAnsi="宋体"/>
          </w:rPr>
          <w:tab/>
        </w:r>
        <w:r>
          <w:rPr>
            <w:rFonts w:ascii="宋体" w:hAnsi="宋体"/>
          </w:rPr>
          <w:fldChar w:fldCharType="begin"/>
        </w:r>
        <w:r>
          <w:rPr>
            <w:rFonts w:ascii="宋体" w:hAnsi="宋体"/>
          </w:rPr>
          <w:instrText xml:space="preserve"> PAGEREF _Toc</w:instrText>
        </w:r>
        <w:r>
          <w:rPr>
            <w:rFonts w:ascii="宋体" w:hAnsi="宋体"/>
          </w:rPr>
          <w:instrText xml:space="preserve">182841364 \h </w:instrText>
        </w:r>
        <w:r>
          <w:rPr>
            <w:rFonts w:ascii="宋体" w:hAnsi="宋体"/>
          </w:rPr>
        </w:r>
        <w:r>
          <w:rPr>
            <w:rFonts w:ascii="宋体" w:hAnsi="宋体"/>
          </w:rPr>
          <w:fldChar w:fldCharType="separate"/>
        </w:r>
        <w:r>
          <w:rPr>
            <w:rFonts w:ascii="宋体" w:hAnsi="宋体"/>
          </w:rPr>
          <w:t>30</w:t>
        </w:r>
        <w:r>
          <w:rPr>
            <w:rFonts w:ascii="宋体" w:hAnsi="宋体"/>
          </w:rPr>
          <w:fldChar w:fldCharType="end"/>
        </w:r>
      </w:hyperlink>
    </w:p>
    <w:p w14:paraId="52B9B861" w14:textId="77777777" w:rsidR="00622EE7" w:rsidRDefault="00E60909">
      <w:pPr>
        <w:pStyle w:val="TOC2"/>
        <w:spacing w:line="360" w:lineRule="auto"/>
        <w:jc w:val="both"/>
        <w:rPr>
          <w:rFonts w:ascii="宋体" w:hAnsi="宋体" w:cstheme="minorBidi"/>
          <w:szCs w:val="22"/>
        </w:rPr>
      </w:pPr>
      <w:hyperlink w:anchor="_Toc182841365" w:history="1">
        <w:r>
          <w:rPr>
            <w:rStyle w:val="af1"/>
            <w:rFonts w:ascii="宋体" w:hAnsi="宋体"/>
            <w:color w:val="auto"/>
          </w:rPr>
          <w:t xml:space="preserve">9.2 </w:t>
        </w:r>
        <w:r>
          <w:rPr>
            <w:rStyle w:val="af1"/>
            <w:rFonts w:ascii="宋体" w:hAnsi="宋体"/>
            <w:color w:val="auto"/>
          </w:rPr>
          <w:t>热水</w:t>
        </w:r>
        <w:r>
          <w:rPr>
            <w:rFonts w:ascii="宋体" w:hAnsi="宋体"/>
          </w:rPr>
          <w:tab/>
        </w:r>
        <w:r>
          <w:rPr>
            <w:rFonts w:ascii="宋体" w:hAnsi="宋体"/>
          </w:rPr>
          <w:fldChar w:fldCharType="begin"/>
        </w:r>
        <w:r>
          <w:rPr>
            <w:rFonts w:ascii="宋体" w:hAnsi="宋体"/>
          </w:rPr>
          <w:instrText xml:space="preserve"> PAGEREF _Toc182841365 \h </w:instrText>
        </w:r>
        <w:r>
          <w:rPr>
            <w:rFonts w:ascii="宋体" w:hAnsi="宋体"/>
          </w:rPr>
        </w:r>
        <w:r>
          <w:rPr>
            <w:rFonts w:ascii="宋体" w:hAnsi="宋体"/>
          </w:rPr>
          <w:fldChar w:fldCharType="separate"/>
        </w:r>
        <w:r>
          <w:rPr>
            <w:rFonts w:ascii="宋体" w:hAnsi="宋体"/>
          </w:rPr>
          <w:t>32</w:t>
        </w:r>
        <w:r>
          <w:rPr>
            <w:rFonts w:ascii="宋体" w:hAnsi="宋体"/>
          </w:rPr>
          <w:fldChar w:fldCharType="end"/>
        </w:r>
      </w:hyperlink>
    </w:p>
    <w:p w14:paraId="39E333F6" w14:textId="77777777" w:rsidR="00622EE7" w:rsidRDefault="00E60909">
      <w:pPr>
        <w:pStyle w:val="TOC2"/>
        <w:spacing w:line="360" w:lineRule="auto"/>
        <w:jc w:val="both"/>
        <w:rPr>
          <w:rFonts w:ascii="宋体" w:hAnsi="宋体" w:cstheme="minorBidi"/>
          <w:szCs w:val="22"/>
        </w:rPr>
      </w:pPr>
      <w:hyperlink w:anchor="_Toc182841366" w:history="1">
        <w:r>
          <w:rPr>
            <w:rStyle w:val="af1"/>
            <w:rFonts w:ascii="宋体" w:hAnsi="宋体"/>
            <w:color w:val="auto"/>
          </w:rPr>
          <w:t xml:space="preserve">9.3 </w:t>
        </w:r>
        <w:r>
          <w:rPr>
            <w:rStyle w:val="af1"/>
            <w:rFonts w:ascii="宋体" w:hAnsi="宋体"/>
            <w:color w:val="auto"/>
          </w:rPr>
          <w:t>排水</w:t>
        </w:r>
        <w:r>
          <w:rPr>
            <w:rFonts w:ascii="宋体" w:hAnsi="宋体"/>
          </w:rPr>
          <w:tab/>
        </w:r>
        <w:r>
          <w:rPr>
            <w:rFonts w:ascii="宋体" w:hAnsi="宋体"/>
          </w:rPr>
          <w:fldChar w:fldCharType="begin"/>
        </w:r>
        <w:r>
          <w:rPr>
            <w:rFonts w:ascii="宋体" w:hAnsi="宋体"/>
          </w:rPr>
          <w:instrText xml:space="preserve"> PAGEREF _Toc182841366 \h </w:instrText>
        </w:r>
        <w:r>
          <w:rPr>
            <w:rFonts w:ascii="宋体" w:hAnsi="宋体"/>
          </w:rPr>
        </w:r>
        <w:r>
          <w:rPr>
            <w:rFonts w:ascii="宋体" w:hAnsi="宋体"/>
          </w:rPr>
          <w:fldChar w:fldCharType="separate"/>
        </w:r>
        <w:r>
          <w:rPr>
            <w:rFonts w:ascii="宋体" w:hAnsi="宋体"/>
          </w:rPr>
          <w:t>33</w:t>
        </w:r>
        <w:r>
          <w:rPr>
            <w:rFonts w:ascii="宋体" w:hAnsi="宋体"/>
          </w:rPr>
          <w:fldChar w:fldCharType="end"/>
        </w:r>
      </w:hyperlink>
    </w:p>
    <w:p w14:paraId="5C4D2C39" w14:textId="77777777" w:rsidR="00622EE7" w:rsidRDefault="00E60909">
      <w:pPr>
        <w:pStyle w:val="TOC2"/>
        <w:spacing w:line="360" w:lineRule="auto"/>
        <w:jc w:val="both"/>
        <w:rPr>
          <w:rFonts w:ascii="宋体" w:hAnsi="宋体" w:cstheme="minorBidi"/>
          <w:szCs w:val="22"/>
        </w:rPr>
      </w:pPr>
      <w:hyperlink w:anchor="_Toc182841367" w:history="1">
        <w:r>
          <w:rPr>
            <w:rStyle w:val="af1"/>
            <w:rFonts w:ascii="宋体" w:hAnsi="宋体"/>
            <w:color w:val="auto"/>
          </w:rPr>
          <w:t xml:space="preserve">9.4 </w:t>
        </w:r>
        <w:r>
          <w:rPr>
            <w:rStyle w:val="af1"/>
            <w:rFonts w:ascii="宋体" w:hAnsi="宋体"/>
            <w:color w:val="auto"/>
          </w:rPr>
          <w:t>消防</w:t>
        </w:r>
        <w:r>
          <w:rPr>
            <w:rFonts w:ascii="宋体" w:hAnsi="宋体"/>
          </w:rPr>
          <w:tab/>
        </w:r>
        <w:r>
          <w:rPr>
            <w:rFonts w:ascii="宋体" w:hAnsi="宋体"/>
          </w:rPr>
          <w:fldChar w:fldCharType="begin"/>
        </w:r>
        <w:r>
          <w:rPr>
            <w:rFonts w:ascii="宋体" w:hAnsi="宋体"/>
          </w:rPr>
          <w:instrText xml:space="preserve"> PAGEREF _Toc182841367 \h </w:instrText>
        </w:r>
        <w:r>
          <w:rPr>
            <w:rFonts w:ascii="宋体" w:hAnsi="宋体"/>
          </w:rPr>
        </w:r>
        <w:r>
          <w:rPr>
            <w:rFonts w:ascii="宋体" w:hAnsi="宋体"/>
          </w:rPr>
          <w:fldChar w:fldCharType="separate"/>
        </w:r>
        <w:r>
          <w:rPr>
            <w:rFonts w:ascii="宋体" w:hAnsi="宋体"/>
          </w:rPr>
          <w:t>34</w:t>
        </w:r>
        <w:r>
          <w:rPr>
            <w:rFonts w:ascii="宋体" w:hAnsi="宋体"/>
          </w:rPr>
          <w:fldChar w:fldCharType="end"/>
        </w:r>
      </w:hyperlink>
    </w:p>
    <w:p w14:paraId="17A667F7" w14:textId="77777777" w:rsidR="00622EE7" w:rsidRDefault="00E60909">
      <w:pPr>
        <w:pStyle w:val="TOC1"/>
        <w:spacing w:line="360" w:lineRule="auto"/>
        <w:jc w:val="both"/>
        <w:rPr>
          <w:rFonts w:ascii="宋体" w:eastAsia="宋体" w:hAnsi="宋体" w:cstheme="minorBidi"/>
          <w:sz w:val="21"/>
        </w:rPr>
      </w:pPr>
      <w:hyperlink w:anchor="_Toc182841368" w:history="1">
        <w:r>
          <w:rPr>
            <w:rStyle w:val="af1"/>
            <w:rFonts w:ascii="宋体" w:eastAsia="宋体" w:hAnsi="宋体"/>
            <w:color w:val="auto"/>
          </w:rPr>
          <w:t xml:space="preserve">10  </w:t>
        </w:r>
        <w:r>
          <w:rPr>
            <w:rStyle w:val="af1"/>
            <w:rFonts w:ascii="宋体" w:eastAsia="宋体" w:hAnsi="宋体"/>
            <w:color w:val="auto"/>
          </w:rPr>
          <w:t>暖通空调</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_Toc182841368 \h </w:instrText>
        </w:r>
        <w:r>
          <w:rPr>
            <w:rFonts w:ascii="宋体" w:eastAsia="宋体" w:hAnsi="宋体"/>
          </w:rPr>
        </w:r>
        <w:r>
          <w:rPr>
            <w:rFonts w:ascii="宋体" w:eastAsia="宋体" w:hAnsi="宋体"/>
          </w:rPr>
          <w:fldChar w:fldCharType="separate"/>
        </w:r>
        <w:r>
          <w:rPr>
            <w:rFonts w:ascii="宋体" w:eastAsia="宋体" w:hAnsi="宋体"/>
          </w:rPr>
          <w:t>35</w:t>
        </w:r>
        <w:r>
          <w:rPr>
            <w:rFonts w:ascii="宋体" w:eastAsia="宋体" w:hAnsi="宋体"/>
          </w:rPr>
          <w:fldChar w:fldCharType="end"/>
        </w:r>
      </w:hyperlink>
    </w:p>
    <w:p w14:paraId="65EF3FBA" w14:textId="77777777" w:rsidR="00622EE7" w:rsidRDefault="00E60909">
      <w:pPr>
        <w:pStyle w:val="TOC2"/>
        <w:spacing w:line="360" w:lineRule="auto"/>
        <w:jc w:val="both"/>
        <w:rPr>
          <w:rFonts w:ascii="宋体" w:hAnsi="宋体" w:cstheme="minorBidi"/>
          <w:szCs w:val="22"/>
        </w:rPr>
      </w:pPr>
      <w:hyperlink w:anchor="_Toc182841369" w:history="1">
        <w:r>
          <w:rPr>
            <w:rStyle w:val="af1"/>
            <w:rFonts w:ascii="宋体" w:hAnsi="宋体"/>
            <w:color w:val="auto"/>
          </w:rPr>
          <w:t xml:space="preserve">10.1 </w:t>
        </w:r>
        <w:r>
          <w:rPr>
            <w:rStyle w:val="af1"/>
            <w:rFonts w:ascii="宋体" w:hAnsi="宋体"/>
            <w:color w:val="auto"/>
          </w:rPr>
          <w:t>供暖</w:t>
        </w:r>
        <w:r>
          <w:rPr>
            <w:rFonts w:ascii="宋体" w:hAnsi="宋体"/>
          </w:rPr>
          <w:tab/>
        </w:r>
        <w:r>
          <w:rPr>
            <w:rFonts w:ascii="宋体" w:hAnsi="宋体"/>
          </w:rPr>
          <w:fldChar w:fldCharType="begin"/>
        </w:r>
        <w:r>
          <w:rPr>
            <w:rFonts w:ascii="宋体" w:hAnsi="宋体"/>
          </w:rPr>
          <w:instrText xml:space="preserve"> PAGEREF _Toc182841369 \h </w:instrText>
        </w:r>
        <w:r>
          <w:rPr>
            <w:rFonts w:ascii="宋体" w:hAnsi="宋体"/>
          </w:rPr>
        </w:r>
        <w:r>
          <w:rPr>
            <w:rFonts w:ascii="宋体" w:hAnsi="宋体"/>
          </w:rPr>
          <w:fldChar w:fldCharType="separate"/>
        </w:r>
        <w:r>
          <w:rPr>
            <w:rFonts w:ascii="宋体" w:hAnsi="宋体"/>
          </w:rPr>
          <w:t>35</w:t>
        </w:r>
        <w:r>
          <w:rPr>
            <w:rFonts w:ascii="宋体" w:hAnsi="宋体"/>
          </w:rPr>
          <w:fldChar w:fldCharType="end"/>
        </w:r>
      </w:hyperlink>
    </w:p>
    <w:p w14:paraId="266CA9F9" w14:textId="77777777" w:rsidR="00622EE7" w:rsidRDefault="00E60909">
      <w:pPr>
        <w:pStyle w:val="TOC2"/>
        <w:spacing w:line="360" w:lineRule="auto"/>
        <w:jc w:val="both"/>
        <w:rPr>
          <w:rFonts w:ascii="宋体" w:hAnsi="宋体" w:cstheme="minorBidi"/>
          <w:szCs w:val="22"/>
        </w:rPr>
      </w:pPr>
      <w:hyperlink w:anchor="_Toc182841370" w:history="1">
        <w:r>
          <w:rPr>
            <w:rStyle w:val="af1"/>
            <w:rFonts w:ascii="宋体" w:hAnsi="宋体"/>
            <w:color w:val="auto"/>
          </w:rPr>
          <w:t xml:space="preserve">10.2 </w:t>
        </w:r>
        <w:r>
          <w:rPr>
            <w:rStyle w:val="af1"/>
            <w:rFonts w:ascii="宋体" w:hAnsi="宋体"/>
            <w:color w:val="auto"/>
          </w:rPr>
          <w:t>通风和防排烟</w:t>
        </w:r>
        <w:r>
          <w:rPr>
            <w:rFonts w:ascii="宋体" w:hAnsi="宋体"/>
          </w:rPr>
          <w:tab/>
        </w:r>
        <w:r>
          <w:rPr>
            <w:rFonts w:ascii="宋体" w:hAnsi="宋体"/>
          </w:rPr>
          <w:fldChar w:fldCharType="begin"/>
        </w:r>
        <w:r>
          <w:rPr>
            <w:rFonts w:ascii="宋体" w:hAnsi="宋体"/>
          </w:rPr>
          <w:instrText xml:space="preserve"> PAGEREF</w:instrText>
        </w:r>
        <w:r>
          <w:rPr>
            <w:rFonts w:ascii="宋体" w:hAnsi="宋体"/>
          </w:rPr>
          <w:instrText xml:space="preserve"> _Toc182841370 \h </w:instrText>
        </w:r>
        <w:r>
          <w:rPr>
            <w:rFonts w:ascii="宋体" w:hAnsi="宋体"/>
          </w:rPr>
        </w:r>
        <w:r>
          <w:rPr>
            <w:rFonts w:ascii="宋体" w:hAnsi="宋体"/>
          </w:rPr>
          <w:fldChar w:fldCharType="separate"/>
        </w:r>
        <w:r>
          <w:rPr>
            <w:rFonts w:ascii="宋体" w:hAnsi="宋体"/>
          </w:rPr>
          <w:t>35</w:t>
        </w:r>
        <w:r>
          <w:rPr>
            <w:rFonts w:ascii="宋体" w:hAnsi="宋体"/>
          </w:rPr>
          <w:fldChar w:fldCharType="end"/>
        </w:r>
      </w:hyperlink>
    </w:p>
    <w:p w14:paraId="31C18269" w14:textId="77777777" w:rsidR="00622EE7" w:rsidRDefault="00E60909">
      <w:pPr>
        <w:pStyle w:val="TOC2"/>
        <w:spacing w:line="360" w:lineRule="auto"/>
        <w:jc w:val="both"/>
        <w:rPr>
          <w:rFonts w:ascii="宋体" w:hAnsi="宋体" w:cstheme="minorBidi"/>
          <w:szCs w:val="22"/>
        </w:rPr>
      </w:pPr>
      <w:hyperlink w:anchor="_Toc182841371" w:history="1">
        <w:r>
          <w:rPr>
            <w:rStyle w:val="af1"/>
            <w:rFonts w:ascii="宋体" w:hAnsi="宋体"/>
            <w:color w:val="auto"/>
          </w:rPr>
          <w:t xml:space="preserve">10.3 </w:t>
        </w:r>
        <w:r>
          <w:rPr>
            <w:rStyle w:val="af1"/>
            <w:rFonts w:ascii="宋体" w:hAnsi="宋体"/>
            <w:color w:val="auto"/>
          </w:rPr>
          <w:t>空气调节</w:t>
        </w:r>
        <w:r>
          <w:rPr>
            <w:rFonts w:ascii="宋体" w:hAnsi="宋体"/>
          </w:rPr>
          <w:tab/>
        </w:r>
        <w:r>
          <w:rPr>
            <w:rFonts w:ascii="宋体" w:hAnsi="宋体"/>
          </w:rPr>
          <w:fldChar w:fldCharType="begin"/>
        </w:r>
        <w:r>
          <w:rPr>
            <w:rFonts w:ascii="宋体" w:hAnsi="宋体"/>
          </w:rPr>
          <w:instrText xml:space="preserve"> PAGEREF _Toc182841371 \h </w:instrText>
        </w:r>
        <w:r>
          <w:rPr>
            <w:rFonts w:ascii="宋体" w:hAnsi="宋体"/>
          </w:rPr>
        </w:r>
        <w:r>
          <w:rPr>
            <w:rFonts w:ascii="宋体" w:hAnsi="宋体"/>
          </w:rPr>
          <w:fldChar w:fldCharType="separate"/>
        </w:r>
        <w:r>
          <w:rPr>
            <w:rFonts w:ascii="宋体" w:hAnsi="宋体"/>
          </w:rPr>
          <w:t>36</w:t>
        </w:r>
        <w:r>
          <w:rPr>
            <w:rFonts w:ascii="宋体" w:hAnsi="宋体"/>
          </w:rPr>
          <w:fldChar w:fldCharType="end"/>
        </w:r>
      </w:hyperlink>
    </w:p>
    <w:p w14:paraId="67B4BE86" w14:textId="77777777" w:rsidR="00622EE7" w:rsidRDefault="00E60909">
      <w:pPr>
        <w:pStyle w:val="TOC2"/>
        <w:spacing w:line="360" w:lineRule="auto"/>
        <w:jc w:val="both"/>
        <w:rPr>
          <w:rFonts w:ascii="宋体" w:hAnsi="宋体" w:cstheme="minorBidi"/>
          <w:szCs w:val="22"/>
        </w:rPr>
      </w:pPr>
      <w:hyperlink w:anchor="_Toc182841372" w:history="1">
        <w:r>
          <w:rPr>
            <w:rStyle w:val="af1"/>
            <w:rFonts w:ascii="宋体" w:hAnsi="宋体"/>
            <w:color w:val="auto"/>
          </w:rPr>
          <w:t xml:space="preserve">10.4 </w:t>
        </w:r>
        <w:r>
          <w:rPr>
            <w:rStyle w:val="af1"/>
            <w:rFonts w:ascii="宋体" w:hAnsi="宋体"/>
            <w:color w:val="auto"/>
          </w:rPr>
          <w:t>计量与监测</w:t>
        </w:r>
        <w:r>
          <w:rPr>
            <w:rFonts w:ascii="宋体" w:hAnsi="宋体"/>
          </w:rPr>
          <w:tab/>
        </w:r>
        <w:r>
          <w:rPr>
            <w:rFonts w:ascii="宋体" w:hAnsi="宋体"/>
          </w:rPr>
          <w:fldChar w:fldCharType="begin"/>
        </w:r>
        <w:r>
          <w:rPr>
            <w:rFonts w:ascii="宋体" w:hAnsi="宋体"/>
          </w:rPr>
          <w:instrText xml:space="preserve"> PAGEREF _Toc182841372 \h </w:instrText>
        </w:r>
        <w:r>
          <w:rPr>
            <w:rFonts w:ascii="宋体" w:hAnsi="宋体"/>
          </w:rPr>
        </w:r>
        <w:r>
          <w:rPr>
            <w:rFonts w:ascii="宋体" w:hAnsi="宋体"/>
          </w:rPr>
          <w:fldChar w:fldCharType="separate"/>
        </w:r>
        <w:r>
          <w:rPr>
            <w:rFonts w:ascii="宋体" w:hAnsi="宋体"/>
          </w:rPr>
          <w:t>37</w:t>
        </w:r>
        <w:r>
          <w:rPr>
            <w:rFonts w:ascii="宋体" w:hAnsi="宋体"/>
          </w:rPr>
          <w:fldChar w:fldCharType="end"/>
        </w:r>
      </w:hyperlink>
    </w:p>
    <w:p w14:paraId="1BFE065B" w14:textId="77777777" w:rsidR="00622EE7" w:rsidRDefault="00E60909">
      <w:pPr>
        <w:pStyle w:val="TOC1"/>
        <w:spacing w:line="360" w:lineRule="auto"/>
        <w:jc w:val="both"/>
        <w:rPr>
          <w:rFonts w:ascii="宋体" w:eastAsia="宋体" w:hAnsi="宋体" w:cstheme="minorBidi"/>
          <w:sz w:val="21"/>
        </w:rPr>
      </w:pPr>
      <w:hyperlink w:anchor="_Toc182841373" w:history="1">
        <w:r>
          <w:rPr>
            <w:rStyle w:val="af1"/>
            <w:rFonts w:ascii="宋体" w:eastAsia="宋体" w:hAnsi="宋体"/>
            <w:color w:val="auto"/>
          </w:rPr>
          <w:t xml:space="preserve">11  </w:t>
        </w:r>
        <w:r>
          <w:rPr>
            <w:rStyle w:val="af1"/>
            <w:rFonts w:ascii="宋体" w:eastAsia="宋体" w:hAnsi="宋体"/>
            <w:color w:val="auto"/>
          </w:rPr>
          <w:t>电气与智能化</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_Toc182841373 \h </w:instrText>
        </w:r>
        <w:r>
          <w:rPr>
            <w:rFonts w:ascii="宋体" w:eastAsia="宋体" w:hAnsi="宋体"/>
          </w:rPr>
        </w:r>
        <w:r>
          <w:rPr>
            <w:rFonts w:ascii="宋体" w:eastAsia="宋体" w:hAnsi="宋体"/>
          </w:rPr>
          <w:fldChar w:fldCharType="separate"/>
        </w:r>
        <w:r>
          <w:rPr>
            <w:rFonts w:ascii="宋体" w:eastAsia="宋体" w:hAnsi="宋体"/>
          </w:rPr>
          <w:t>38</w:t>
        </w:r>
        <w:r>
          <w:rPr>
            <w:rFonts w:ascii="宋体" w:eastAsia="宋体" w:hAnsi="宋体"/>
          </w:rPr>
          <w:fldChar w:fldCharType="end"/>
        </w:r>
      </w:hyperlink>
    </w:p>
    <w:p w14:paraId="7B468535" w14:textId="77777777" w:rsidR="00622EE7" w:rsidRDefault="00E60909">
      <w:pPr>
        <w:pStyle w:val="TOC2"/>
        <w:spacing w:line="360" w:lineRule="auto"/>
        <w:jc w:val="both"/>
        <w:rPr>
          <w:rFonts w:ascii="宋体" w:hAnsi="宋体" w:cstheme="minorBidi"/>
          <w:szCs w:val="22"/>
        </w:rPr>
      </w:pPr>
      <w:hyperlink w:anchor="_Toc182841374" w:history="1">
        <w:r>
          <w:rPr>
            <w:rStyle w:val="af1"/>
            <w:rFonts w:ascii="宋体" w:hAnsi="宋体"/>
            <w:color w:val="auto"/>
          </w:rPr>
          <w:t>11.1</w:t>
        </w:r>
        <w:r>
          <w:rPr>
            <w:rStyle w:val="af1"/>
            <w:rFonts w:ascii="宋体" w:hAnsi="宋体"/>
            <w:color w:val="auto"/>
          </w:rPr>
          <w:t>充电与消防</w:t>
        </w:r>
        <w:r>
          <w:rPr>
            <w:rFonts w:ascii="宋体" w:hAnsi="宋体"/>
          </w:rPr>
          <w:tab/>
        </w:r>
        <w:r>
          <w:rPr>
            <w:rFonts w:ascii="宋体" w:hAnsi="宋体"/>
          </w:rPr>
          <w:fldChar w:fldCharType="begin"/>
        </w:r>
        <w:r>
          <w:rPr>
            <w:rFonts w:ascii="宋体" w:hAnsi="宋体"/>
          </w:rPr>
          <w:instrText xml:space="preserve"> PAGEREF _Toc182841374 \h </w:instrText>
        </w:r>
        <w:r>
          <w:rPr>
            <w:rFonts w:ascii="宋体" w:hAnsi="宋体"/>
          </w:rPr>
        </w:r>
        <w:r>
          <w:rPr>
            <w:rFonts w:ascii="宋体" w:hAnsi="宋体"/>
          </w:rPr>
          <w:fldChar w:fldCharType="separate"/>
        </w:r>
        <w:r>
          <w:rPr>
            <w:rFonts w:ascii="宋体" w:hAnsi="宋体"/>
          </w:rPr>
          <w:t>38</w:t>
        </w:r>
        <w:r>
          <w:rPr>
            <w:rFonts w:ascii="宋体" w:hAnsi="宋体"/>
          </w:rPr>
          <w:fldChar w:fldCharType="end"/>
        </w:r>
      </w:hyperlink>
    </w:p>
    <w:p w14:paraId="5B712C47" w14:textId="77777777" w:rsidR="00622EE7" w:rsidRDefault="00E60909">
      <w:pPr>
        <w:pStyle w:val="TOC2"/>
        <w:spacing w:line="360" w:lineRule="auto"/>
        <w:jc w:val="both"/>
        <w:rPr>
          <w:rFonts w:ascii="宋体" w:hAnsi="宋体" w:cstheme="minorBidi"/>
          <w:szCs w:val="22"/>
        </w:rPr>
      </w:pPr>
      <w:hyperlink w:anchor="_Toc182841375" w:history="1">
        <w:r>
          <w:rPr>
            <w:rStyle w:val="af1"/>
            <w:rFonts w:ascii="宋体" w:hAnsi="宋体"/>
            <w:color w:val="auto"/>
          </w:rPr>
          <w:t>11.2</w:t>
        </w:r>
        <w:r>
          <w:rPr>
            <w:rStyle w:val="af1"/>
            <w:rFonts w:ascii="宋体" w:hAnsi="宋体"/>
            <w:color w:val="auto"/>
          </w:rPr>
          <w:t>配电</w:t>
        </w:r>
        <w:r>
          <w:rPr>
            <w:rFonts w:ascii="宋体" w:hAnsi="宋体"/>
          </w:rPr>
          <w:tab/>
        </w:r>
        <w:r>
          <w:rPr>
            <w:rFonts w:ascii="宋体" w:hAnsi="宋体"/>
          </w:rPr>
          <w:fldChar w:fldCharType="begin"/>
        </w:r>
        <w:r>
          <w:rPr>
            <w:rFonts w:ascii="宋体" w:hAnsi="宋体"/>
          </w:rPr>
          <w:instrText xml:space="preserve"> PAGEREF _T</w:instrText>
        </w:r>
        <w:r>
          <w:rPr>
            <w:rFonts w:ascii="宋体" w:hAnsi="宋体"/>
          </w:rPr>
          <w:instrText xml:space="preserve">oc182841375 \h </w:instrText>
        </w:r>
        <w:r>
          <w:rPr>
            <w:rFonts w:ascii="宋体" w:hAnsi="宋体"/>
          </w:rPr>
        </w:r>
        <w:r>
          <w:rPr>
            <w:rFonts w:ascii="宋体" w:hAnsi="宋体"/>
          </w:rPr>
          <w:fldChar w:fldCharType="separate"/>
        </w:r>
        <w:r>
          <w:rPr>
            <w:rFonts w:ascii="宋体" w:hAnsi="宋体"/>
          </w:rPr>
          <w:t>38</w:t>
        </w:r>
        <w:r>
          <w:rPr>
            <w:rFonts w:ascii="宋体" w:hAnsi="宋体"/>
          </w:rPr>
          <w:fldChar w:fldCharType="end"/>
        </w:r>
      </w:hyperlink>
    </w:p>
    <w:p w14:paraId="1FBC7A89" w14:textId="77777777" w:rsidR="00622EE7" w:rsidRDefault="00E60909">
      <w:pPr>
        <w:pStyle w:val="TOC2"/>
        <w:spacing w:line="360" w:lineRule="auto"/>
        <w:jc w:val="both"/>
        <w:rPr>
          <w:rFonts w:ascii="宋体" w:hAnsi="宋体" w:cstheme="minorBidi"/>
          <w:szCs w:val="22"/>
        </w:rPr>
      </w:pPr>
      <w:hyperlink w:anchor="_Toc182841376" w:history="1">
        <w:r>
          <w:rPr>
            <w:rStyle w:val="af1"/>
            <w:rFonts w:ascii="宋体" w:hAnsi="宋体"/>
            <w:color w:val="auto"/>
          </w:rPr>
          <w:t>11.3</w:t>
        </w:r>
        <w:r>
          <w:rPr>
            <w:rStyle w:val="af1"/>
            <w:rFonts w:ascii="宋体" w:hAnsi="宋体"/>
            <w:color w:val="auto"/>
          </w:rPr>
          <w:t>照明</w:t>
        </w:r>
        <w:r>
          <w:rPr>
            <w:rFonts w:ascii="宋体" w:hAnsi="宋体"/>
          </w:rPr>
          <w:tab/>
        </w:r>
        <w:r>
          <w:rPr>
            <w:rFonts w:ascii="宋体" w:hAnsi="宋体"/>
          </w:rPr>
          <w:fldChar w:fldCharType="begin"/>
        </w:r>
        <w:r>
          <w:rPr>
            <w:rFonts w:ascii="宋体" w:hAnsi="宋体"/>
          </w:rPr>
          <w:instrText xml:space="preserve"> PAGEREF _Toc182841376 \h </w:instrText>
        </w:r>
        <w:r>
          <w:rPr>
            <w:rFonts w:ascii="宋体" w:hAnsi="宋体"/>
          </w:rPr>
        </w:r>
        <w:r>
          <w:rPr>
            <w:rFonts w:ascii="宋体" w:hAnsi="宋体"/>
          </w:rPr>
          <w:fldChar w:fldCharType="separate"/>
        </w:r>
        <w:r>
          <w:rPr>
            <w:rFonts w:ascii="宋体" w:hAnsi="宋体"/>
          </w:rPr>
          <w:t>39</w:t>
        </w:r>
        <w:r>
          <w:rPr>
            <w:rFonts w:ascii="宋体" w:hAnsi="宋体"/>
          </w:rPr>
          <w:fldChar w:fldCharType="end"/>
        </w:r>
      </w:hyperlink>
    </w:p>
    <w:p w14:paraId="1CB58BF9" w14:textId="77777777" w:rsidR="00622EE7" w:rsidRDefault="00E60909">
      <w:pPr>
        <w:pStyle w:val="TOC2"/>
        <w:spacing w:line="360" w:lineRule="auto"/>
        <w:jc w:val="both"/>
        <w:rPr>
          <w:rFonts w:ascii="宋体" w:hAnsi="宋体" w:cstheme="minorBidi"/>
          <w:szCs w:val="22"/>
        </w:rPr>
      </w:pPr>
      <w:hyperlink w:anchor="_Toc182841377" w:history="1">
        <w:r>
          <w:rPr>
            <w:rStyle w:val="af1"/>
            <w:rFonts w:ascii="宋体" w:hAnsi="宋体"/>
            <w:color w:val="auto"/>
          </w:rPr>
          <w:t>11</w:t>
        </w:r>
        <w:r>
          <w:rPr>
            <w:rStyle w:val="af1"/>
            <w:rFonts w:ascii="宋体" w:hAnsi="宋体"/>
            <w:color w:val="auto"/>
          </w:rPr>
          <w:t>.4</w:t>
        </w:r>
        <w:r>
          <w:rPr>
            <w:rStyle w:val="af1"/>
            <w:rFonts w:ascii="宋体" w:hAnsi="宋体"/>
            <w:color w:val="auto"/>
          </w:rPr>
          <w:t>智慧安防</w:t>
        </w:r>
        <w:r>
          <w:rPr>
            <w:rFonts w:ascii="宋体" w:hAnsi="宋体"/>
          </w:rPr>
          <w:tab/>
        </w:r>
        <w:r>
          <w:rPr>
            <w:rFonts w:ascii="宋体" w:hAnsi="宋体"/>
          </w:rPr>
          <w:fldChar w:fldCharType="begin"/>
        </w:r>
        <w:r>
          <w:rPr>
            <w:rFonts w:ascii="宋体" w:hAnsi="宋体"/>
          </w:rPr>
          <w:instrText xml:space="preserve"> PAGEREF _Toc182841377 \h </w:instrText>
        </w:r>
        <w:r>
          <w:rPr>
            <w:rFonts w:ascii="宋体" w:hAnsi="宋体"/>
          </w:rPr>
        </w:r>
        <w:r>
          <w:rPr>
            <w:rFonts w:ascii="宋体" w:hAnsi="宋体"/>
          </w:rPr>
          <w:fldChar w:fldCharType="separate"/>
        </w:r>
        <w:r>
          <w:rPr>
            <w:rFonts w:ascii="宋体" w:hAnsi="宋体"/>
          </w:rPr>
          <w:t>39</w:t>
        </w:r>
        <w:r>
          <w:rPr>
            <w:rFonts w:ascii="宋体" w:hAnsi="宋体"/>
          </w:rPr>
          <w:fldChar w:fldCharType="end"/>
        </w:r>
      </w:hyperlink>
    </w:p>
    <w:p w14:paraId="7BC79DC1" w14:textId="77777777" w:rsidR="00622EE7" w:rsidRDefault="00E60909">
      <w:pPr>
        <w:pStyle w:val="TOC2"/>
        <w:spacing w:line="360" w:lineRule="auto"/>
        <w:jc w:val="both"/>
        <w:rPr>
          <w:rFonts w:ascii="宋体" w:hAnsi="宋体" w:cstheme="minorBidi"/>
          <w:szCs w:val="22"/>
        </w:rPr>
      </w:pPr>
      <w:hyperlink w:anchor="_Toc182841378" w:history="1">
        <w:r>
          <w:rPr>
            <w:rStyle w:val="af1"/>
            <w:rFonts w:ascii="宋体" w:hAnsi="宋体"/>
            <w:color w:val="auto"/>
          </w:rPr>
          <w:t>11.5</w:t>
        </w:r>
        <w:r>
          <w:rPr>
            <w:rStyle w:val="af1"/>
            <w:rFonts w:ascii="宋体" w:hAnsi="宋体"/>
            <w:color w:val="auto"/>
          </w:rPr>
          <w:t>数字家庭</w:t>
        </w:r>
        <w:r>
          <w:rPr>
            <w:rFonts w:ascii="宋体" w:hAnsi="宋体"/>
          </w:rPr>
          <w:tab/>
        </w:r>
        <w:r>
          <w:rPr>
            <w:rFonts w:ascii="宋体" w:hAnsi="宋体"/>
          </w:rPr>
          <w:fldChar w:fldCharType="begin"/>
        </w:r>
        <w:r>
          <w:rPr>
            <w:rFonts w:ascii="宋体" w:hAnsi="宋体"/>
          </w:rPr>
          <w:instrText xml:space="preserve"> PAGEREF _Toc182841378 \h </w:instrText>
        </w:r>
        <w:r>
          <w:rPr>
            <w:rFonts w:ascii="宋体" w:hAnsi="宋体"/>
          </w:rPr>
        </w:r>
        <w:r>
          <w:rPr>
            <w:rFonts w:ascii="宋体" w:hAnsi="宋体"/>
          </w:rPr>
          <w:fldChar w:fldCharType="separate"/>
        </w:r>
        <w:r>
          <w:rPr>
            <w:rFonts w:ascii="宋体" w:hAnsi="宋体"/>
          </w:rPr>
          <w:t>40</w:t>
        </w:r>
        <w:r>
          <w:rPr>
            <w:rFonts w:ascii="宋体" w:hAnsi="宋体"/>
          </w:rPr>
          <w:fldChar w:fldCharType="end"/>
        </w:r>
      </w:hyperlink>
    </w:p>
    <w:p w14:paraId="33FBEE33" w14:textId="77777777" w:rsidR="00622EE7" w:rsidRDefault="00E60909">
      <w:pPr>
        <w:pStyle w:val="TOC1"/>
        <w:spacing w:line="360" w:lineRule="auto"/>
        <w:jc w:val="both"/>
        <w:rPr>
          <w:rFonts w:ascii="宋体" w:eastAsia="宋体" w:hAnsi="宋体" w:cstheme="minorBidi"/>
          <w:sz w:val="21"/>
        </w:rPr>
      </w:pPr>
      <w:hyperlink w:anchor="_Toc182841379" w:history="1">
        <w:r>
          <w:rPr>
            <w:rStyle w:val="af1"/>
            <w:rFonts w:ascii="宋体" w:eastAsia="宋体" w:hAnsi="宋体"/>
            <w:color w:val="auto"/>
          </w:rPr>
          <w:t xml:space="preserve">12  </w:t>
        </w:r>
        <w:r>
          <w:rPr>
            <w:rStyle w:val="af1"/>
            <w:rFonts w:ascii="宋体" w:eastAsia="宋体" w:hAnsi="宋体"/>
            <w:color w:val="auto"/>
          </w:rPr>
          <w:t>运维和服务</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_Toc182841379 \h </w:instrText>
        </w:r>
        <w:r>
          <w:rPr>
            <w:rFonts w:ascii="宋体" w:eastAsia="宋体" w:hAnsi="宋体"/>
          </w:rPr>
        </w:r>
        <w:r>
          <w:rPr>
            <w:rFonts w:ascii="宋体" w:eastAsia="宋体" w:hAnsi="宋体"/>
          </w:rPr>
          <w:fldChar w:fldCharType="separate"/>
        </w:r>
        <w:r>
          <w:rPr>
            <w:rFonts w:ascii="宋体" w:eastAsia="宋体" w:hAnsi="宋体"/>
          </w:rPr>
          <w:t>42</w:t>
        </w:r>
        <w:r>
          <w:rPr>
            <w:rFonts w:ascii="宋体" w:eastAsia="宋体" w:hAnsi="宋体"/>
          </w:rPr>
          <w:fldChar w:fldCharType="end"/>
        </w:r>
      </w:hyperlink>
    </w:p>
    <w:p w14:paraId="62EDE262" w14:textId="77777777" w:rsidR="00622EE7" w:rsidRDefault="00E60909">
      <w:pPr>
        <w:pStyle w:val="TOC2"/>
        <w:spacing w:line="360" w:lineRule="auto"/>
        <w:jc w:val="both"/>
        <w:rPr>
          <w:rFonts w:ascii="宋体" w:hAnsi="宋体" w:cstheme="minorBidi"/>
          <w:szCs w:val="22"/>
        </w:rPr>
      </w:pPr>
      <w:hyperlink w:anchor="_Toc182841380" w:history="1">
        <w:r>
          <w:rPr>
            <w:rStyle w:val="af1"/>
            <w:rFonts w:ascii="宋体" w:hAnsi="宋体"/>
            <w:color w:val="auto"/>
          </w:rPr>
          <w:t xml:space="preserve">12.1 </w:t>
        </w:r>
        <w:r>
          <w:rPr>
            <w:rStyle w:val="af1"/>
            <w:rFonts w:ascii="宋体" w:hAnsi="宋体"/>
            <w:color w:val="auto"/>
          </w:rPr>
          <w:t>日常维护与服务</w:t>
        </w:r>
        <w:r>
          <w:rPr>
            <w:rFonts w:ascii="宋体" w:hAnsi="宋体"/>
          </w:rPr>
          <w:tab/>
        </w:r>
        <w:r>
          <w:rPr>
            <w:rFonts w:ascii="宋体" w:hAnsi="宋体"/>
          </w:rPr>
          <w:fldChar w:fldCharType="begin"/>
        </w:r>
        <w:r>
          <w:rPr>
            <w:rFonts w:ascii="宋体" w:hAnsi="宋体"/>
          </w:rPr>
          <w:instrText xml:space="preserve"> PAGEREF _Toc182841380 \h </w:instrText>
        </w:r>
        <w:r>
          <w:rPr>
            <w:rFonts w:ascii="宋体" w:hAnsi="宋体"/>
          </w:rPr>
        </w:r>
        <w:r>
          <w:rPr>
            <w:rFonts w:ascii="宋体" w:hAnsi="宋体"/>
          </w:rPr>
          <w:fldChar w:fldCharType="separate"/>
        </w:r>
        <w:r>
          <w:rPr>
            <w:rFonts w:ascii="宋体" w:hAnsi="宋体"/>
          </w:rPr>
          <w:t>42</w:t>
        </w:r>
        <w:r>
          <w:rPr>
            <w:rFonts w:ascii="宋体" w:hAnsi="宋体"/>
          </w:rPr>
          <w:fldChar w:fldCharType="end"/>
        </w:r>
      </w:hyperlink>
    </w:p>
    <w:p w14:paraId="5B12AADB" w14:textId="77777777" w:rsidR="00622EE7" w:rsidRDefault="00E60909">
      <w:pPr>
        <w:pStyle w:val="TOC2"/>
        <w:spacing w:line="360" w:lineRule="auto"/>
        <w:jc w:val="both"/>
        <w:rPr>
          <w:rFonts w:ascii="宋体" w:hAnsi="宋体" w:cstheme="minorBidi"/>
          <w:szCs w:val="22"/>
        </w:rPr>
      </w:pPr>
      <w:hyperlink w:anchor="_Toc182841381" w:history="1">
        <w:r>
          <w:rPr>
            <w:rStyle w:val="af1"/>
            <w:rFonts w:ascii="宋体" w:hAnsi="宋体"/>
            <w:color w:val="auto"/>
          </w:rPr>
          <w:t xml:space="preserve">12.2 </w:t>
        </w:r>
        <w:r>
          <w:rPr>
            <w:rStyle w:val="af1"/>
            <w:rFonts w:ascii="宋体" w:hAnsi="宋体"/>
            <w:color w:val="auto"/>
          </w:rPr>
          <w:t>文化与关怀</w:t>
        </w:r>
        <w:r>
          <w:rPr>
            <w:rFonts w:ascii="宋体" w:hAnsi="宋体"/>
          </w:rPr>
          <w:tab/>
        </w:r>
        <w:r>
          <w:rPr>
            <w:rFonts w:ascii="宋体" w:hAnsi="宋体"/>
          </w:rPr>
          <w:fldChar w:fldCharType="begin"/>
        </w:r>
        <w:r>
          <w:rPr>
            <w:rFonts w:ascii="宋体" w:hAnsi="宋体"/>
          </w:rPr>
          <w:instrText xml:space="preserve"> PAGEREF _Toc182841381 \h </w:instrText>
        </w:r>
        <w:r>
          <w:rPr>
            <w:rFonts w:ascii="宋体" w:hAnsi="宋体"/>
          </w:rPr>
        </w:r>
        <w:r>
          <w:rPr>
            <w:rFonts w:ascii="宋体" w:hAnsi="宋体"/>
          </w:rPr>
          <w:fldChar w:fldCharType="separate"/>
        </w:r>
        <w:r>
          <w:rPr>
            <w:rFonts w:ascii="宋体" w:hAnsi="宋体"/>
          </w:rPr>
          <w:t>43</w:t>
        </w:r>
        <w:r>
          <w:rPr>
            <w:rFonts w:ascii="宋体" w:hAnsi="宋体"/>
          </w:rPr>
          <w:fldChar w:fldCharType="end"/>
        </w:r>
      </w:hyperlink>
    </w:p>
    <w:p w14:paraId="76318AEB" w14:textId="77777777" w:rsidR="00622EE7" w:rsidRDefault="00E60909">
      <w:pPr>
        <w:pStyle w:val="TOC2"/>
        <w:spacing w:line="360" w:lineRule="auto"/>
        <w:jc w:val="both"/>
        <w:rPr>
          <w:rFonts w:ascii="宋体" w:hAnsi="宋体" w:cstheme="minorBidi"/>
          <w:szCs w:val="22"/>
        </w:rPr>
      </w:pPr>
      <w:hyperlink w:anchor="_Toc182841382" w:history="1">
        <w:r>
          <w:rPr>
            <w:rStyle w:val="af1"/>
            <w:rFonts w:ascii="宋体" w:hAnsi="宋体"/>
            <w:color w:val="auto"/>
          </w:rPr>
          <w:t xml:space="preserve">12.3 </w:t>
        </w:r>
        <w:r>
          <w:rPr>
            <w:rStyle w:val="af1"/>
            <w:rFonts w:ascii="宋体" w:hAnsi="宋体"/>
            <w:color w:val="auto"/>
          </w:rPr>
          <w:t>检查与维修</w:t>
        </w:r>
        <w:r>
          <w:rPr>
            <w:rFonts w:ascii="宋体" w:hAnsi="宋体"/>
          </w:rPr>
          <w:tab/>
        </w:r>
        <w:r>
          <w:rPr>
            <w:rFonts w:ascii="宋体" w:hAnsi="宋体"/>
          </w:rPr>
          <w:fldChar w:fldCharType="begin"/>
        </w:r>
        <w:r>
          <w:rPr>
            <w:rFonts w:ascii="宋体" w:hAnsi="宋体"/>
          </w:rPr>
          <w:instrText xml:space="preserve"> PAGEREF _Toc182841382 \h </w:instrText>
        </w:r>
        <w:r>
          <w:rPr>
            <w:rFonts w:ascii="宋体" w:hAnsi="宋体"/>
          </w:rPr>
        </w:r>
        <w:r>
          <w:rPr>
            <w:rFonts w:ascii="宋体" w:hAnsi="宋体"/>
          </w:rPr>
          <w:fldChar w:fldCharType="separate"/>
        </w:r>
        <w:r>
          <w:rPr>
            <w:rFonts w:ascii="宋体" w:hAnsi="宋体"/>
          </w:rPr>
          <w:t>43</w:t>
        </w:r>
        <w:r>
          <w:rPr>
            <w:rFonts w:ascii="宋体" w:hAnsi="宋体"/>
          </w:rPr>
          <w:fldChar w:fldCharType="end"/>
        </w:r>
      </w:hyperlink>
    </w:p>
    <w:p w14:paraId="65AB40C5" w14:textId="77777777" w:rsidR="00622EE7" w:rsidRDefault="00E60909">
      <w:pPr>
        <w:pStyle w:val="TOC2"/>
        <w:spacing w:line="360" w:lineRule="auto"/>
        <w:jc w:val="both"/>
        <w:rPr>
          <w:rFonts w:ascii="宋体" w:hAnsi="宋体" w:cstheme="minorBidi"/>
          <w:szCs w:val="22"/>
        </w:rPr>
      </w:pPr>
      <w:hyperlink w:anchor="_Toc182841383" w:history="1">
        <w:r>
          <w:rPr>
            <w:rStyle w:val="af1"/>
            <w:rFonts w:ascii="宋体" w:hAnsi="宋体"/>
            <w:color w:val="auto"/>
          </w:rPr>
          <w:t xml:space="preserve">12.4 </w:t>
        </w:r>
        <w:r>
          <w:rPr>
            <w:rStyle w:val="af1"/>
            <w:rFonts w:ascii="宋体" w:hAnsi="宋体"/>
            <w:color w:val="auto"/>
          </w:rPr>
          <w:t>智慧运维</w:t>
        </w:r>
        <w:r>
          <w:rPr>
            <w:rFonts w:ascii="宋体" w:hAnsi="宋体"/>
          </w:rPr>
          <w:tab/>
        </w:r>
        <w:r>
          <w:rPr>
            <w:rFonts w:ascii="宋体" w:hAnsi="宋体"/>
          </w:rPr>
          <w:fldChar w:fldCharType="begin"/>
        </w:r>
        <w:r>
          <w:rPr>
            <w:rFonts w:ascii="宋体" w:hAnsi="宋体"/>
          </w:rPr>
          <w:instrText xml:space="preserve"> PAGEREF _Toc182841383 \h </w:instrText>
        </w:r>
        <w:r>
          <w:rPr>
            <w:rFonts w:ascii="宋体" w:hAnsi="宋体"/>
          </w:rPr>
        </w:r>
        <w:r>
          <w:rPr>
            <w:rFonts w:ascii="宋体" w:hAnsi="宋体"/>
          </w:rPr>
          <w:fldChar w:fldCharType="separate"/>
        </w:r>
        <w:r>
          <w:rPr>
            <w:rFonts w:ascii="宋体" w:hAnsi="宋体"/>
          </w:rPr>
          <w:t>44</w:t>
        </w:r>
        <w:r>
          <w:rPr>
            <w:rFonts w:ascii="宋体" w:hAnsi="宋体"/>
          </w:rPr>
          <w:fldChar w:fldCharType="end"/>
        </w:r>
      </w:hyperlink>
    </w:p>
    <w:p w14:paraId="75E0B8E1" w14:textId="77777777" w:rsidR="00622EE7" w:rsidRDefault="00E60909">
      <w:pPr>
        <w:pStyle w:val="TOC1"/>
        <w:spacing w:line="360" w:lineRule="auto"/>
        <w:jc w:val="both"/>
        <w:rPr>
          <w:rFonts w:ascii="宋体" w:eastAsia="宋体" w:hAnsi="宋体" w:cstheme="minorBidi"/>
          <w:sz w:val="21"/>
        </w:rPr>
      </w:pPr>
      <w:hyperlink w:anchor="_Toc182841384" w:history="1">
        <w:r>
          <w:rPr>
            <w:rStyle w:val="af1"/>
            <w:rFonts w:ascii="宋体" w:eastAsia="宋体" w:hAnsi="宋体"/>
            <w:color w:val="auto"/>
          </w:rPr>
          <w:t>用词说明</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_Toc182841384 \h </w:instrText>
        </w:r>
        <w:r>
          <w:rPr>
            <w:rFonts w:ascii="宋体" w:eastAsia="宋体" w:hAnsi="宋体"/>
          </w:rPr>
        </w:r>
        <w:r>
          <w:rPr>
            <w:rFonts w:ascii="宋体" w:eastAsia="宋体" w:hAnsi="宋体"/>
          </w:rPr>
          <w:fldChar w:fldCharType="separate"/>
        </w:r>
        <w:r>
          <w:rPr>
            <w:rFonts w:ascii="宋体" w:eastAsia="宋体" w:hAnsi="宋体"/>
          </w:rPr>
          <w:t>45</w:t>
        </w:r>
        <w:r>
          <w:rPr>
            <w:rFonts w:ascii="宋体" w:eastAsia="宋体" w:hAnsi="宋体"/>
          </w:rPr>
          <w:fldChar w:fldCharType="end"/>
        </w:r>
      </w:hyperlink>
    </w:p>
    <w:p w14:paraId="49217E7B" w14:textId="77777777" w:rsidR="00622EE7" w:rsidRDefault="00E60909">
      <w:pPr>
        <w:pStyle w:val="TOC1"/>
        <w:spacing w:line="360" w:lineRule="auto"/>
        <w:jc w:val="both"/>
        <w:rPr>
          <w:rFonts w:ascii="宋体" w:eastAsia="宋体" w:hAnsi="宋体" w:cstheme="minorBidi"/>
          <w:sz w:val="21"/>
        </w:rPr>
      </w:pPr>
      <w:hyperlink w:anchor="_Toc182841385" w:history="1">
        <w:r>
          <w:rPr>
            <w:rStyle w:val="af1"/>
            <w:rFonts w:ascii="宋体" w:eastAsia="宋体" w:hAnsi="宋体"/>
            <w:color w:val="auto"/>
          </w:rPr>
          <w:t>引用标准名录</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_Toc182841385 \h </w:instrText>
        </w:r>
        <w:r>
          <w:rPr>
            <w:rFonts w:ascii="宋体" w:eastAsia="宋体" w:hAnsi="宋体"/>
          </w:rPr>
        </w:r>
        <w:r>
          <w:rPr>
            <w:rFonts w:ascii="宋体" w:eastAsia="宋体" w:hAnsi="宋体"/>
          </w:rPr>
          <w:fldChar w:fldCharType="separate"/>
        </w:r>
        <w:r>
          <w:rPr>
            <w:rFonts w:ascii="宋体" w:eastAsia="宋体" w:hAnsi="宋体"/>
          </w:rPr>
          <w:t>46</w:t>
        </w:r>
        <w:r>
          <w:rPr>
            <w:rFonts w:ascii="宋体" w:eastAsia="宋体" w:hAnsi="宋体"/>
          </w:rPr>
          <w:fldChar w:fldCharType="end"/>
        </w:r>
      </w:hyperlink>
    </w:p>
    <w:p w14:paraId="24FE2082" w14:textId="77777777" w:rsidR="00622EE7" w:rsidRDefault="00E60909">
      <w:pPr>
        <w:pStyle w:val="TOC1"/>
        <w:spacing w:line="360" w:lineRule="auto"/>
        <w:jc w:val="both"/>
        <w:rPr>
          <w:rFonts w:ascii="宋体" w:eastAsia="宋体" w:hAnsi="宋体" w:cstheme="minorBidi"/>
          <w:sz w:val="21"/>
        </w:rPr>
      </w:pPr>
      <w:r>
        <w:rPr>
          <w:rStyle w:val="af1"/>
          <w:rFonts w:ascii="宋体" w:eastAsia="宋体" w:hAnsi="宋体" w:hint="eastAsia"/>
          <w:color w:val="auto"/>
          <w:u w:val="none"/>
        </w:rPr>
        <w:t>附：</w:t>
      </w:r>
      <w:hyperlink w:anchor="_Toc182841386" w:history="1">
        <w:r>
          <w:rPr>
            <w:rStyle w:val="af1"/>
            <w:rFonts w:ascii="宋体" w:eastAsia="宋体" w:hAnsi="宋体"/>
            <w:bCs/>
            <w:color w:val="auto"/>
            <w:kern w:val="44"/>
            <w:lang w:val="zh-CN"/>
          </w:rPr>
          <w:t>条文说明</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_Toc182841386 \h </w:instrText>
        </w:r>
        <w:r>
          <w:rPr>
            <w:rFonts w:ascii="宋体" w:eastAsia="宋体" w:hAnsi="宋体"/>
          </w:rPr>
        </w:r>
        <w:r>
          <w:rPr>
            <w:rFonts w:ascii="宋体" w:eastAsia="宋体" w:hAnsi="宋体"/>
          </w:rPr>
          <w:fldChar w:fldCharType="separate"/>
        </w:r>
        <w:r>
          <w:rPr>
            <w:rFonts w:ascii="宋体" w:eastAsia="宋体" w:hAnsi="宋体"/>
          </w:rPr>
          <w:t>48</w:t>
        </w:r>
        <w:r>
          <w:rPr>
            <w:rFonts w:ascii="宋体" w:eastAsia="宋体" w:hAnsi="宋体"/>
          </w:rPr>
          <w:fldChar w:fldCharType="end"/>
        </w:r>
      </w:hyperlink>
    </w:p>
    <w:p w14:paraId="4431DD50" w14:textId="77777777" w:rsidR="00622EE7" w:rsidRDefault="00E60909">
      <w:pPr>
        <w:pStyle w:val="TOC1"/>
        <w:spacing w:line="360" w:lineRule="auto"/>
        <w:jc w:val="both"/>
        <w:rPr>
          <w:rFonts w:eastAsia="宋体"/>
          <w:szCs w:val="24"/>
        </w:rPr>
      </w:pPr>
      <w:r>
        <w:rPr>
          <w:rFonts w:ascii="宋体" w:eastAsia="宋体" w:hAnsi="宋体"/>
          <w:szCs w:val="24"/>
        </w:rPr>
        <w:fldChar w:fldCharType="end"/>
      </w:r>
      <w:r>
        <w:rPr>
          <w:rFonts w:eastAsia="宋体"/>
          <w:szCs w:val="24"/>
        </w:rPr>
        <w:t xml:space="preserve"> </w:t>
      </w:r>
    </w:p>
    <w:p w14:paraId="480427D8" w14:textId="77777777" w:rsidR="00622EE7" w:rsidRDefault="00622EE7">
      <w:pPr>
        <w:widowControl/>
        <w:spacing w:line="360" w:lineRule="auto"/>
        <w:rPr>
          <w:rFonts w:ascii="宋体" w:hAnsi="宋体"/>
          <w:szCs w:val="24"/>
        </w:rPr>
      </w:pPr>
    </w:p>
    <w:p w14:paraId="627964E1" w14:textId="77777777" w:rsidR="00622EE7" w:rsidRDefault="00E60909">
      <w:pPr>
        <w:widowControl/>
        <w:rPr>
          <w:rFonts w:ascii="Times New Roman" w:eastAsia="等线" w:hAnsi="Times New Roman"/>
          <w:szCs w:val="24"/>
        </w:rPr>
      </w:pPr>
      <w:r>
        <w:rPr>
          <w:rFonts w:ascii="宋体" w:hAnsi="宋体"/>
          <w:szCs w:val="24"/>
        </w:rPr>
        <w:br w:type="page"/>
      </w:r>
    </w:p>
    <w:p w14:paraId="661FFCA7" w14:textId="77777777" w:rsidR="00622EE7" w:rsidRDefault="00622EE7">
      <w:pPr>
        <w:sectPr w:rsidR="00622EE7">
          <w:footerReference w:type="default" r:id="rId10"/>
          <w:footerReference w:type="first" r:id="rId11"/>
          <w:pgSz w:w="11906" w:h="16838"/>
          <w:pgMar w:top="1418" w:right="1701" w:bottom="1418" w:left="1701" w:header="851" w:footer="992" w:gutter="0"/>
          <w:pgNumType w:fmt="upperRoman" w:start="1"/>
          <w:cols w:space="425"/>
          <w:titlePg/>
          <w:docGrid w:type="lines" w:linePitch="326"/>
        </w:sectPr>
      </w:pPr>
    </w:p>
    <w:p w14:paraId="742C889A" w14:textId="77777777" w:rsidR="00622EE7" w:rsidRDefault="00E60909">
      <w:pPr>
        <w:pStyle w:val="1"/>
      </w:pPr>
      <w:bookmarkStart w:id="1" w:name="_Toc182841323"/>
      <w:bookmarkEnd w:id="0"/>
      <w:r>
        <w:lastRenderedPageBreak/>
        <w:t xml:space="preserve">1 </w:t>
      </w:r>
      <w:r>
        <w:rPr>
          <w:rFonts w:hint="eastAsia"/>
        </w:rPr>
        <w:t xml:space="preserve"> </w:t>
      </w:r>
      <w:r>
        <w:t>总则</w:t>
      </w:r>
      <w:bookmarkEnd w:id="1"/>
    </w:p>
    <w:p w14:paraId="6B817866" w14:textId="77777777" w:rsidR="00622EE7" w:rsidRDefault="00E60909">
      <w:pPr>
        <w:spacing w:line="360" w:lineRule="auto"/>
      </w:pPr>
      <w:r>
        <w:rPr>
          <w:rFonts w:ascii="Times New Roman" w:hAnsi="Times New Roman"/>
          <w:b/>
        </w:rPr>
        <w:t>1.0.1</w:t>
      </w:r>
      <w:r>
        <w:rPr>
          <w:rFonts w:ascii="宋体" w:hAnsi="宋体"/>
        </w:rPr>
        <w:t xml:space="preserve">  </w:t>
      </w:r>
      <w:r>
        <w:rPr>
          <w:rFonts w:ascii="Times New Roman" w:hAnsi="Times New Roman"/>
        </w:rPr>
        <w:t>为促进</w:t>
      </w:r>
      <w:r>
        <w:rPr>
          <w:rFonts w:hint="eastAsia"/>
        </w:rPr>
        <w:t>鄂尔多斯市康巴什区</w:t>
      </w:r>
      <w:r>
        <w:rPr>
          <w:rFonts w:ascii="Times New Roman" w:hAnsi="Times New Roman"/>
        </w:rPr>
        <w:t>住宅小区高质量建设，推进</w:t>
      </w:r>
      <w:r>
        <w:rPr>
          <w:rFonts w:ascii="Times New Roman" w:hAnsi="Times New Roman"/>
        </w:rPr>
        <w:t>“</w:t>
      </w:r>
      <w:r>
        <w:rPr>
          <w:rFonts w:ascii="Times New Roman" w:hAnsi="Times New Roman"/>
        </w:rPr>
        <w:t>好房子</w:t>
      </w:r>
      <w:r>
        <w:rPr>
          <w:rFonts w:ascii="Times New Roman" w:hAnsi="Times New Roman"/>
        </w:rPr>
        <w:t>”</w:t>
      </w:r>
      <w:r>
        <w:rPr>
          <w:rFonts w:ascii="Times New Roman" w:hAnsi="Times New Roman"/>
        </w:rPr>
        <w:t>建设，按照</w:t>
      </w:r>
      <w:r>
        <w:rPr>
          <w:rFonts w:hint="eastAsia"/>
        </w:rPr>
        <w:t>安全、舒适、绿色、智慧</w:t>
      </w:r>
      <w:r>
        <w:rPr>
          <w:rFonts w:ascii="Times New Roman" w:hAnsi="Times New Roman"/>
        </w:rPr>
        <w:t>的要求，为住户提供高质量、新科技、好服务的高品质住宅小区</w:t>
      </w:r>
      <w:r>
        <w:rPr>
          <w:rFonts w:hint="eastAsia"/>
        </w:rPr>
        <w:t>，提升居民舒适度和幸福感，制订本导则。</w:t>
      </w:r>
    </w:p>
    <w:p w14:paraId="60F4D604" w14:textId="77777777" w:rsidR="00622EE7" w:rsidRDefault="00E60909">
      <w:pPr>
        <w:spacing w:line="360" w:lineRule="auto"/>
      </w:pPr>
      <w:r>
        <w:rPr>
          <w:rFonts w:ascii="Times New Roman" w:hAnsi="Times New Roman"/>
          <w:b/>
        </w:rPr>
        <w:t>1.0.2</w:t>
      </w:r>
      <w:r>
        <w:rPr>
          <w:rFonts w:ascii="Times New Roman" w:hAnsi="Times New Roman"/>
        </w:rPr>
        <w:t xml:space="preserve"> </w:t>
      </w:r>
      <w:r>
        <w:t xml:space="preserve"> </w:t>
      </w:r>
      <w:r>
        <w:rPr>
          <w:rFonts w:hint="eastAsia"/>
        </w:rPr>
        <w:t>本导则</w:t>
      </w:r>
      <w:r>
        <w:t>适</w:t>
      </w:r>
      <w:r>
        <w:rPr>
          <w:rFonts w:hint="eastAsia"/>
        </w:rPr>
        <w:t>用于鄂尔多斯市康巴什区新建高品质住宅小区的策划、设计、建造、运维和服务，既有小区改造时，可根据项目情况参照使用</w:t>
      </w:r>
      <w:r>
        <w:t>。</w:t>
      </w:r>
    </w:p>
    <w:p w14:paraId="2BC34620" w14:textId="77777777" w:rsidR="00622EE7" w:rsidRDefault="00E60909">
      <w:pPr>
        <w:spacing w:line="360" w:lineRule="auto"/>
      </w:pPr>
      <w:r>
        <w:rPr>
          <w:rFonts w:ascii="Times New Roman" w:hAnsi="Times New Roman"/>
          <w:b/>
        </w:rPr>
        <w:t>1.0.3</w:t>
      </w:r>
      <w:r>
        <w:rPr>
          <w:rFonts w:ascii="Times New Roman" w:hAnsi="Times New Roman"/>
        </w:rPr>
        <w:t xml:space="preserve"> </w:t>
      </w:r>
      <w:r>
        <w:rPr>
          <w:rFonts w:hint="eastAsia"/>
        </w:rPr>
        <w:t xml:space="preserve"> </w:t>
      </w:r>
      <w:r>
        <w:rPr>
          <w:rFonts w:hint="eastAsia"/>
        </w:rPr>
        <w:t>康巴什区高品质住宅小</w:t>
      </w:r>
      <w:r>
        <w:rPr>
          <w:rFonts w:hint="eastAsia"/>
        </w:rPr>
        <w:t>区的建设除</w:t>
      </w:r>
      <w:r>
        <w:t>应符合本</w:t>
      </w:r>
      <w:r>
        <w:rPr>
          <w:rFonts w:hint="eastAsia"/>
        </w:rPr>
        <w:t>导则</w:t>
      </w:r>
      <w:r>
        <w:t>的规定外，</w:t>
      </w:r>
      <w:r>
        <w:rPr>
          <w:rFonts w:hint="eastAsia"/>
        </w:rPr>
        <w:t>尚应符合国家和自治区、鄂尔多斯市现行有关标准的规定。</w:t>
      </w:r>
    </w:p>
    <w:p w14:paraId="7D65F7F6" w14:textId="77777777" w:rsidR="00622EE7" w:rsidRDefault="00E60909">
      <w:pPr>
        <w:pStyle w:val="1"/>
      </w:pPr>
      <w:bookmarkStart w:id="2" w:name="_Toc529371302"/>
      <w:bookmarkStart w:id="3" w:name="_Toc182841324"/>
      <w:r>
        <w:lastRenderedPageBreak/>
        <w:t xml:space="preserve">2 </w:t>
      </w:r>
      <w:r>
        <w:rPr>
          <w:rFonts w:hint="eastAsia"/>
        </w:rPr>
        <w:t xml:space="preserve"> </w:t>
      </w:r>
      <w:r>
        <w:t>术语</w:t>
      </w:r>
      <w:bookmarkEnd w:id="2"/>
      <w:bookmarkEnd w:id="3"/>
    </w:p>
    <w:p w14:paraId="4BE69D5D" w14:textId="77777777" w:rsidR="00622EE7" w:rsidRDefault="00E60909">
      <w:pPr>
        <w:spacing w:line="360" w:lineRule="auto"/>
        <w:rPr>
          <w:rFonts w:ascii="宋体" w:hAnsi="宋体"/>
          <w:szCs w:val="24"/>
        </w:rPr>
      </w:pPr>
      <w:r>
        <w:rPr>
          <w:rFonts w:ascii="Times New Roman" w:hAnsi="Times New Roman"/>
          <w:b/>
        </w:rPr>
        <w:t>2.0.1</w:t>
      </w:r>
      <w:r>
        <w:rPr>
          <w:rFonts w:ascii="宋体" w:hAnsi="宋体"/>
        </w:rPr>
        <w:t xml:space="preserve">  </w:t>
      </w:r>
      <w:r>
        <w:rPr>
          <w:rFonts w:ascii="宋体" w:hAnsi="宋体" w:hint="eastAsia"/>
        </w:rPr>
        <w:t xml:space="preserve"> </w:t>
      </w:r>
      <w:r>
        <w:rPr>
          <w:rFonts w:ascii="宋体" w:hAnsi="宋体" w:hint="eastAsia"/>
        </w:rPr>
        <w:t>高</w:t>
      </w:r>
      <w:r>
        <w:rPr>
          <w:rFonts w:ascii="宋体" w:hAnsi="宋体" w:hint="eastAsia"/>
          <w:szCs w:val="24"/>
        </w:rPr>
        <w:t>品质住宅小区</w:t>
      </w:r>
      <w:r>
        <w:rPr>
          <w:rFonts w:ascii="Times New Roman" w:hAnsi="Times New Roman"/>
          <w:szCs w:val="24"/>
        </w:rPr>
        <w:t>High quality community</w:t>
      </w:r>
    </w:p>
    <w:p w14:paraId="692FE282" w14:textId="77777777" w:rsidR="00622EE7" w:rsidRDefault="00E60909">
      <w:pPr>
        <w:spacing w:line="360" w:lineRule="auto"/>
        <w:ind w:firstLine="480"/>
        <w:rPr>
          <w:rFonts w:ascii="宋体" w:hAnsi="宋体"/>
          <w:szCs w:val="24"/>
        </w:rPr>
      </w:pPr>
      <w:r>
        <w:rPr>
          <w:rFonts w:ascii="宋体" w:hAnsi="宋体" w:hint="eastAsia"/>
          <w:szCs w:val="24"/>
        </w:rPr>
        <w:t>符合住房高质量发展的要求，满足</w:t>
      </w:r>
      <w:r>
        <w:rPr>
          <w:rFonts w:ascii="Times New Roman" w:hAnsi="Times New Roman"/>
          <w:szCs w:val="24"/>
        </w:rPr>
        <w:t>安全耐久、低碳减排、绿色健康、环境优美、配套齐全、智能友好</w:t>
      </w:r>
      <w:r>
        <w:rPr>
          <w:rFonts w:ascii="Times New Roman" w:hAnsi="Times New Roman" w:hint="eastAsia"/>
          <w:szCs w:val="24"/>
        </w:rPr>
        <w:t>相关要求</w:t>
      </w:r>
      <w:r>
        <w:rPr>
          <w:rFonts w:ascii="宋体" w:hAnsi="宋体" w:hint="eastAsia"/>
          <w:szCs w:val="24"/>
        </w:rPr>
        <w:t>的住宅小区。</w:t>
      </w:r>
    </w:p>
    <w:p w14:paraId="6D117A61" w14:textId="77777777" w:rsidR="00622EE7" w:rsidRDefault="00E60909">
      <w:pPr>
        <w:spacing w:line="360" w:lineRule="auto"/>
        <w:rPr>
          <w:rFonts w:ascii="宋体" w:hAnsi="宋体"/>
          <w:szCs w:val="24"/>
        </w:rPr>
      </w:pPr>
      <w:r>
        <w:rPr>
          <w:rFonts w:ascii="Times New Roman" w:hAnsi="Times New Roman"/>
          <w:b/>
          <w:szCs w:val="24"/>
        </w:rPr>
        <w:t>2.0.2</w:t>
      </w:r>
      <w:r>
        <w:rPr>
          <w:rFonts w:ascii="宋体" w:hAnsi="宋体"/>
          <w:szCs w:val="24"/>
        </w:rPr>
        <w:t xml:space="preserve">  </w:t>
      </w:r>
      <w:r>
        <w:rPr>
          <w:rFonts w:ascii="宋体" w:hAnsi="宋体" w:hint="eastAsia"/>
          <w:szCs w:val="24"/>
        </w:rPr>
        <w:t xml:space="preserve"> </w:t>
      </w:r>
      <w:r>
        <w:rPr>
          <w:rFonts w:ascii="宋体" w:hAnsi="宋体" w:hint="eastAsia"/>
          <w:szCs w:val="24"/>
        </w:rPr>
        <w:t>高品质住宅小区评价</w:t>
      </w:r>
      <w:r>
        <w:rPr>
          <w:rFonts w:ascii="Times New Roman" w:hAnsi="Times New Roman"/>
          <w:szCs w:val="24"/>
        </w:rPr>
        <w:t xml:space="preserve">High quality community </w:t>
      </w:r>
      <w:r>
        <w:rPr>
          <w:rFonts w:ascii="Times New Roman" w:hAnsi="Times New Roman" w:hint="eastAsia"/>
          <w:szCs w:val="24"/>
        </w:rPr>
        <w:t>assessment</w:t>
      </w:r>
    </w:p>
    <w:p w14:paraId="5290BD52" w14:textId="77777777" w:rsidR="00622EE7" w:rsidRDefault="00E60909">
      <w:pPr>
        <w:spacing w:line="360" w:lineRule="auto"/>
        <w:ind w:firstLine="480"/>
        <w:rPr>
          <w:rFonts w:ascii="宋体" w:hAnsi="宋体"/>
          <w:szCs w:val="24"/>
        </w:rPr>
      </w:pPr>
      <w:r>
        <w:rPr>
          <w:rFonts w:ascii="宋体" w:hAnsi="宋体" w:hint="eastAsia"/>
          <w:szCs w:val="24"/>
        </w:rPr>
        <w:t>按照鄂尔多斯市《高品质住宅小区评价标准》的要求，对新建城镇住宅小区进行</w:t>
      </w:r>
      <w:r>
        <w:rPr>
          <w:rFonts w:ascii="Times New Roman" w:hAnsi="Times New Roman"/>
          <w:szCs w:val="24"/>
        </w:rPr>
        <w:t>安全耐久、低碳减排、绿色健康、环境优美、配套齐全、智能友好</w:t>
      </w:r>
      <w:r>
        <w:rPr>
          <w:rFonts w:ascii="宋体" w:hAnsi="宋体" w:hint="eastAsia"/>
          <w:szCs w:val="24"/>
        </w:rPr>
        <w:t>一系列指标的评价并得出结果的活动，高品质住宅小区等级分为</w:t>
      </w:r>
      <w:proofErr w:type="gramStart"/>
      <w:r>
        <w:rPr>
          <w:rFonts w:ascii="宋体" w:hAnsi="宋体" w:hint="eastAsia"/>
          <w:szCs w:val="24"/>
        </w:rPr>
        <w:t>一</w:t>
      </w:r>
      <w:proofErr w:type="gramEnd"/>
      <w:r>
        <w:rPr>
          <w:rFonts w:ascii="宋体" w:hAnsi="宋体" w:hint="eastAsia"/>
          <w:szCs w:val="24"/>
        </w:rPr>
        <w:t>星级、二星级、三星级</w:t>
      </w:r>
      <w:r>
        <w:rPr>
          <w:rFonts w:ascii="宋体" w:hAnsi="宋体"/>
          <w:szCs w:val="24"/>
        </w:rPr>
        <w:t>3</w:t>
      </w:r>
      <w:r>
        <w:rPr>
          <w:rFonts w:ascii="宋体" w:hAnsi="宋体" w:hint="eastAsia"/>
          <w:szCs w:val="24"/>
        </w:rPr>
        <w:t>档。</w:t>
      </w:r>
    </w:p>
    <w:p w14:paraId="15BBC3CA" w14:textId="77777777" w:rsidR="00622EE7" w:rsidRDefault="00E60909">
      <w:pPr>
        <w:spacing w:line="360" w:lineRule="auto"/>
        <w:rPr>
          <w:rFonts w:ascii="Times New Roman" w:hAnsi="Times New Roman"/>
          <w:szCs w:val="24"/>
        </w:rPr>
      </w:pPr>
      <w:r>
        <w:rPr>
          <w:rFonts w:ascii="Times New Roman" w:hAnsi="Times New Roman"/>
          <w:b/>
          <w:szCs w:val="24"/>
        </w:rPr>
        <w:t>2.0.3</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基础项</w:t>
      </w:r>
      <w:r>
        <w:rPr>
          <w:rFonts w:ascii="Times New Roman" w:hAnsi="Times New Roman" w:hint="eastAsia"/>
          <w:szCs w:val="24"/>
        </w:rPr>
        <w:t xml:space="preserve"> </w:t>
      </w:r>
      <w:r>
        <w:rPr>
          <w:rFonts w:ascii="Times New Roman" w:hAnsi="Times New Roman"/>
          <w:szCs w:val="24"/>
        </w:rPr>
        <w:t xml:space="preserve">Basic </w:t>
      </w:r>
      <w:r>
        <w:rPr>
          <w:rFonts w:ascii="Times New Roman" w:hAnsi="Times New Roman" w:hint="eastAsia"/>
          <w:szCs w:val="24"/>
        </w:rPr>
        <w:t>i</w:t>
      </w:r>
      <w:r>
        <w:rPr>
          <w:rFonts w:ascii="Times New Roman" w:hAnsi="Times New Roman"/>
          <w:szCs w:val="24"/>
        </w:rPr>
        <w:t>tems</w:t>
      </w:r>
    </w:p>
    <w:p w14:paraId="5F52DD6B"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本导则中的基础项是与安全、质量等基本要求相关的技术内容，对应鄂尔多斯市《高品质住宅小区评价标准》控制项和现行标准规定的要求，因此在康巴什高品质住宅小区中必须执行。</w:t>
      </w:r>
    </w:p>
    <w:p w14:paraId="09054530" w14:textId="77777777" w:rsidR="00622EE7" w:rsidRDefault="00E60909">
      <w:pPr>
        <w:spacing w:line="360" w:lineRule="auto"/>
        <w:rPr>
          <w:rFonts w:ascii="Times New Roman" w:hAnsi="Times New Roman"/>
          <w:szCs w:val="24"/>
        </w:rPr>
      </w:pPr>
      <w:r>
        <w:rPr>
          <w:rFonts w:ascii="Times New Roman" w:hAnsi="Times New Roman"/>
          <w:b/>
          <w:szCs w:val="24"/>
        </w:rPr>
        <w:t>2.0.4</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品质项</w:t>
      </w:r>
      <w:r>
        <w:rPr>
          <w:rFonts w:ascii="Times New Roman" w:hAnsi="Times New Roman"/>
          <w:szCs w:val="24"/>
        </w:rPr>
        <w:t xml:space="preserve">Quality </w:t>
      </w:r>
      <w:r>
        <w:rPr>
          <w:rFonts w:ascii="Times New Roman" w:hAnsi="Times New Roman" w:hint="eastAsia"/>
          <w:szCs w:val="24"/>
        </w:rPr>
        <w:t>i</w:t>
      </w:r>
      <w:r>
        <w:rPr>
          <w:rFonts w:ascii="Times New Roman" w:hAnsi="Times New Roman"/>
          <w:szCs w:val="24"/>
        </w:rPr>
        <w:t>tems</w:t>
      </w:r>
    </w:p>
    <w:p w14:paraId="2A3C0AD2"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本导则中的品质项是对应鄂尔多斯市《高</w:t>
      </w:r>
      <w:r>
        <w:rPr>
          <w:rFonts w:ascii="Times New Roman" w:hAnsi="Times New Roman" w:hint="eastAsia"/>
          <w:szCs w:val="24"/>
        </w:rPr>
        <w:t>品质住宅小区评价标准》部分品质提升评分项的要求，并根据康巴什区的具体情况进行了深化与调整，</w:t>
      </w:r>
      <w:proofErr w:type="gramStart"/>
      <w:r>
        <w:rPr>
          <w:rFonts w:ascii="Times New Roman" w:hAnsi="Times New Roman" w:hint="eastAsia"/>
          <w:szCs w:val="24"/>
        </w:rPr>
        <w:t>一</w:t>
      </w:r>
      <w:proofErr w:type="gramEnd"/>
      <w:r>
        <w:rPr>
          <w:rFonts w:ascii="Times New Roman" w:hAnsi="Times New Roman" w:hint="eastAsia"/>
          <w:szCs w:val="24"/>
        </w:rPr>
        <w:t>星级高品质住宅小区应对照执行。</w:t>
      </w:r>
    </w:p>
    <w:p w14:paraId="5C77DF99" w14:textId="77777777" w:rsidR="00622EE7" w:rsidRDefault="00E60909">
      <w:pPr>
        <w:spacing w:line="360" w:lineRule="auto"/>
        <w:rPr>
          <w:rFonts w:ascii="Times New Roman" w:hAnsi="Times New Roman"/>
          <w:szCs w:val="24"/>
        </w:rPr>
      </w:pPr>
      <w:r>
        <w:rPr>
          <w:rFonts w:ascii="Times New Roman" w:hAnsi="Times New Roman"/>
          <w:b/>
          <w:szCs w:val="24"/>
        </w:rPr>
        <w:t>2.0.5</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提升项</w:t>
      </w:r>
      <w:r>
        <w:rPr>
          <w:rFonts w:ascii="Times New Roman" w:hAnsi="Times New Roman" w:hint="eastAsia"/>
          <w:szCs w:val="24"/>
        </w:rPr>
        <w:t xml:space="preserve"> </w:t>
      </w:r>
      <w:r>
        <w:rPr>
          <w:rFonts w:ascii="Times New Roman" w:hAnsi="Times New Roman"/>
          <w:szCs w:val="24"/>
        </w:rPr>
        <w:t xml:space="preserve">Upgrade </w:t>
      </w:r>
      <w:r>
        <w:rPr>
          <w:rFonts w:ascii="Times New Roman" w:hAnsi="Times New Roman" w:hint="eastAsia"/>
          <w:szCs w:val="24"/>
        </w:rPr>
        <w:t>i</w:t>
      </w:r>
      <w:r>
        <w:rPr>
          <w:rFonts w:ascii="Times New Roman" w:hAnsi="Times New Roman"/>
          <w:szCs w:val="24"/>
        </w:rPr>
        <w:t>tems</w:t>
      </w:r>
    </w:p>
    <w:p w14:paraId="7DC9CB18"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本导则中的提升项对应鄂尔多斯市《高品质住宅小区评价标准》部分评分项的要求，并根据康巴什区的具体情况进行了深化与调整，整体难度或成本增量高于品质项，建议二星级高品质住宅小区对照执行。</w:t>
      </w:r>
    </w:p>
    <w:p w14:paraId="418141BE" w14:textId="77777777" w:rsidR="00622EE7" w:rsidRDefault="00E60909">
      <w:pPr>
        <w:spacing w:line="360" w:lineRule="auto"/>
        <w:rPr>
          <w:rFonts w:ascii="Times New Roman" w:hAnsi="Times New Roman"/>
          <w:szCs w:val="24"/>
        </w:rPr>
      </w:pPr>
      <w:r>
        <w:rPr>
          <w:rFonts w:ascii="Times New Roman" w:hAnsi="Times New Roman"/>
          <w:b/>
          <w:szCs w:val="24"/>
        </w:rPr>
        <w:t>2.0.6</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创新项</w:t>
      </w:r>
      <w:r>
        <w:rPr>
          <w:rFonts w:ascii="Times New Roman" w:hAnsi="Times New Roman" w:hint="eastAsia"/>
          <w:szCs w:val="24"/>
        </w:rPr>
        <w:t xml:space="preserve"> </w:t>
      </w:r>
      <w:r>
        <w:rPr>
          <w:rFonts w:ascii="Times New Roman" w:hAnsi="Times New Roman"/>
          <w:szCs w:val="24"/>
        </w:rPr>
        <w:t xml:space="preserve">Innovation </w:t>
      </w:r>
      <w:r>
        <w:rPr>
          <w:rFonts w:ascii="Times New Roman" w:hAnsi="Times New Roman" w:hint="eastAsia"/>
          <w:szCs w:val="24"/>
        </w:rPr>
        <w:t>i</w:t>
      </w:r>
      <w:r>
        <w:rPr>
          <w:rFonts w:ascii="Times New Roman" w:hAnsi="Times New Roman"/>
          <w:szCs w:val="24"/>
        </w:rPr>
        <w:t>tems</w:t>
      </w:r>
    </w:p>
    <w:p w14:paraId="16C3F0C4"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本导则中的创新项对应鄂尔多斯市《高品质住宅小区评价标准》体系和技术创新性较强的评分项，并根据康巴</w:t>
      </w:r>
      <w:r>
        <w:rPr>
          <w:rFonts w:ascii="Times New Roman" w:hAnsi="Times New Roman" w:hint="eastAsia"/>
          <w:szCs w:val="24"/>
        </w:rPr>
        <w:t>什区的具体情况进行了深化，建议三星级高品质住宅参照实施。</w:t>
      </w:r>
    </w:p>
    <w:p w14:paraId="75F84167" w14:textId="77777777" w:rsidR="00622EE7" w:rsidRDefault="00E60909">
      <w:pPr>
        <w:spacing w:line="360" w:lineRule="auto"/>
        <w:rPr>
          <w:rFonts w:ascii="Times New Roman" w:hAnsi="Times New Roman"/>
          <w:szCs w:val="24"/>
        </w:rPr>
      </w:pPr>
      <w:r>
        <w:rPr>
          <w:rFonts w:ascii="Times New Roman" w:hAnsi="Times New Roman"/>
          <w:b/>
          <w:szCs w:val="24"/>
        </w:rPr>
        <w:t xml:space="preserve">2.0.7  </w:t>
      </w:r>
      <w:r>
        <w:rPr>
          <w:rFonts w:ascii="Times New Roman" w:hAnsi="Times New Roman" w:hint="eastAsia"/>
          <w:szCs w:val="24"/>
        </w:rPr>
        <w:t>技术策划</w:t>
      </w:r>
      <w:r>
        <w:rPr>
          <w:rFonts w:ascii="Times New Roman" w:hAnsi="Times New Roman" w:hint="eastAsia"/>
          <w:szCs w:val="24"/>
        </w:rPr>
        <w:t xml:space="preserve"> </w:t>
      </w:r>
      <w:r>
        <w:rPr>
          <w:rFonts w:ascii="Times New Roman" w:hAnsi="Times New Roman"/>
          <w:szCs w:val="24"/>
        </w:rPr>
        <w:t xml:space="preserve">Technology </w:t>
      </w:r>
      <w:r>
        <w:rPr>
          <w:rFonts w:ascii="Times New Roman" w:hAnsi="Times New Roman" w:hint="eastAsia"/>
          <w:szCs w:val="24"/>
        </w:rPr>
        <w:t>p</w:t>
      </w:r>
      <w:r>
        <w:rPr>
          <w:rFonts w:ascii="Times New Roman" w:hAnsi="Times New Roman"/>
          <w:szCs w:val="24"/>
        </w:rPr>
        <w:t xml:space="preserve">lanning </w:t>
      </w:r>
    </w:p>
    <w:p w14:paraId="4FF20115" w14:textId="77777777" w:rsidR="00622EE7" w:rsidRDefault="00E60909">
      <w:pPr>
        <w:spacing w:line="360" w:lineRule="auto"/>
        <w:ind w:firstLine="482"/>
        <w:rPr>
          <w:rFonts w:ascii="Times New Roman" w:hAnsi="Times New Roman"/>
          <w:szCs w:val="24"/>
        </w:rPr>
      </w:pPr>
      <w:r>
        <w:rPr>
          <w:rFonts w:ascii="Times New Roman" w:hAnsi="Times New Roman" w:hint="eastAsia"/>
          <w:szCs w:val="24"/>
        </w:rPr>
        <w:t>本导则中的技术策划指在一般的项目策划基础上，根据项目条件、等级目标，对节能减排、全装修和装配式内装修、绿色和低碳建材、绿色和智慧建造、运</w:t>
      </w:r>
      <w:proofErr w:type="gramStart"/>
      <w:r>
        <w:rPr>
          <w:rFonts w:ascii="Times New Roman" w:hAnsi="Times New Roman" w:hint="eastAsia"/>
          <w:szCs w:val="24"/>
        </w:rPr>
        <w:t>维管</w:t>
      </w:r>
      <w:r>
        <w:rPr>
          <w:rFonts w:ascii="Times New Roman" w:hAnsi="Times New Roman" w:hint="eastAsia"/>
          <w:szCs w:val="24"/>
        </w:rPr>
        <w:lastRenderedPageBreak/>
        <w:t>理</w:t>
      </w:r>
      <w:proofErr w:type="gramEnd"/>
      <w:r>
        <w:rPr>
          <w:rFonts w:ascii="Times New Roman" w:hAnsi="Times New Roman" w:hint="eastAsia"/>
          <w:szCs w:val="24"/>
        </w:rPr>
        <w:t>等方面的内容进行技术适用性和资源匹配性等评估，并在设计和建造中进行贯彻执行。</w:t>
      </w:r>
    </w:p>
    <w:p w14:paraId="1220556E" w14:textId="77777777" w:rsidR="00622EE7" w:rsidRDefault="00E60909">
      <w:pPr>
        <w:widowControl/>
        <w:rPr>
          <w:rFonts w:ascii="宋体" w:hAnsi="宋体"/>
        </w:rPr>
      </w:pPr>
      <w:r>
        <w:rPr>
          <w:rFonts w:ascii="宋体" w:hAnsi="宋体"/>
        </w:rPr>
        <w:br w:type="page"/>
      </w:r>
    </w:p>
    <w:p w14:paraId="7D7A056B" w14:textId="77777777" w:rsidR="00622EE7" w:rsidRDefault="00E60909">
      <w:pPr>
        <w:pStyle w:val="1"/>
      </w:pPr>
      <w:bookmarkStart w:id="4" w:name="_Toc529371303"/>
      <w:bookmarkStart w:id="5" w:name="_Toc182841325"/>
      <w:r>
        <w:rPr>
          <w:rFonts w:hint="eastAsia"/>
        </w:rPr>
        <w:lastRenderedPageBreak/>
        <w:t>3</w:t>
      </w:r>
      <w:r>
        <w:t xml:space="preserve">  </w:t>
      </w:r>
      <w:bookmarkEnd w:id="4"/>
      <w:r>
        <w:rPr>
          <w:rFonts w:hint="eastAsia"/>
        </w:rPr>
        <w:t>基本规定</w:t>
      </w:r>
      <w:bookmarkEnd w:id="5"/>
    </w:p>
    <w:p w14:paraId="4D2EDD5F" w14:textId="77777777" w:rsidR="00622EE7" w:rsidRDefault="00E60909">
      <w:pPr>
        <w:pStyle w:val="af3"/>
        <w:numPr>
          <w:ilvl w:val="0"/>
          <w:numId w:val="1"/>
        </w:numPr>
        <w:ind w:left="0" w:firstLineChars="0" w:firstLine="0"/>
        <w:contextualSpacing/>
      </w:pPr>
      <w:r>
        <w:rPr>
          <w:rFonts w:hint="eastAsia"/>
        </w:rPr>
        <w:t>高品质住宅小区在规划建设之初应明确项目定位、建设目标及对应的技术策略、增量成本与效益进行策划。</w:t>
      </w:r>
    </w:p>
    <w:p w14:paraId="19EF56F6" w14:textId="77777777" w:rsidR="00622EE7" w:rsidRDefault="00E60909">
      <w:pPr>
        <w:pStyle w:val="af3"/>
        <w:numPr>
          <w:ilvl w:val="0"/>
          <w:numId w:val="1"/>
        </w:numPr>
        <w:ind w:left="0" w:firstLineChars="0" w:firstLine="0"/>
        <w:contextualSpacing/>
      </w:pPr>
      <w:proofErr w:type="gramStart"/>
      <w:r>
        <w:t>一</w:t>
      </w:r>
      <w:proofErr w:type="gramEnd"/>
      <w:r>
        <w:t>星级</w:t>
      </w:r>
      <w:r>
        <w:rPr>
          <w:rFonts w:hint="eastAsia"/>
        </w:rPr>
        <w:t>、二星级、三星级高品质小区不得违反本导</w:t>
      </w:r>
      <w:proofErr w:type="gramStart"/>
      <w:r>
        <w:rPr>
          <w:rFonts w:hint="eastAsia"/>
        </w:rPr>
        <w:t>则基础项</w:t>
      </w:r>
      <w:proofErr w:type="gramEnd"/>
      <w:r>
        <w:rPr>
          <w:rFonts w:hint="eastAsia"/>
        </w:rPr>
        <w:t>的要求。</w:t>
      </w:r>
    </w:p>
    <w:p w14:paraId="0DE7DFDB" w14:textId="77777777" w:rsidR="00622EE7" w:rsidRDefault="00E60909">
      <w:pPr>
        <w:pStyle w:val="af3"/>
        <w:numPr>
          <w:ilvl w:val="0"/>
          <w:numId w:val="1"/>
        </w:numPr>
        <w:ind w:left="0" w:firstLineChars="0" w:firstLine="0"/>
        <w:contextualSpacing/>
      </w:pPr>
      <w:proofErr w:type="gramStart"/>
      <w:r>
        <w:rPr>
          <w:rFonts w:hint="eastAsia"/>
        </w:rPr>
        <w:t>一</w:t>
      </w:r>
      <w:proofErr w:type="gramEnd"/>
      <w:r>
        <w:rPr>
          <w:rFonts w:hint="eastAsia"/>
        </w:rPr>
        <w:t>星级高品质小区应参照本导则品质项的要求执行；二星级高品质小区应参照本导则品质项、提升项的要求执行。</w:t>
      </w:r>
    </w:p>
    <w:p w14:paraId="138388C9" w14:textId="77777777" w:rsidR="00622EE7" w:rsidRDefault="00E60909">
      <w:pPr>
        <w:pStyle w:val="af3"/>
        <w:numPr>
          <w:ilvl w:val="0"/>
          <w:numId w:val="1"/>
        </w:numPr>
        <w:ind w:left="0" w:firstLineChars="0" w:firstLine="0"/>
        <w:contextualSpacing/>
      </w:pPr>
      <w:r>
        <w:rPr>
          <w:rFonts w:hint="eastAsia"/>
        </w:rPr>
        <w:t>三星级高品质小区应为绿色建筑二星级及以上、全装修住宅，且应参照本导则、品质项、提升项的要求执行，并应满足表</w:t>
      </w:r>
      <w:r>
        <w:rPr>
          <w:rFonts w:hint="eastAsia"/>
        </w:rPr>
        <w:t>3</w:t>
      </w:r>
      <w:r>
        <w:t>.0.4</w:t>
      </w:r>
      <w:r>
        <w:rPr>
          <w:rFonts w:hint="eastAsia"/>
        </w:rPr>
        <w:t>的至少一类的相关创新项内容。</w:t>
      </w:r>
    </w:p>
    <w:p w14:paraId="382351A6" w14:textId="77777777" w:rsidR="00622EE7" w:rsidRDefault="00E60909">
      <w:pPr>
        <w:pStyle w:val="11"/>
        <w:spacing w:beforeLines="25" w:before="81"/>
        <w:ind w:left="420" w:firstLineChars="0" w:firstLine="0"/>
        <w:contextualSpacing/>
        <w:jc w:val="center"/>
        <w:rPr>
          <w:b/>
          <w:sz w:val="21"/>
          <w:szCs w:val="21"/>
        </w:rPr>
      </w:pPr>
      <w:r>
        <w:rPr>
          <w:rFonts w:ascii="宋体" w:hAnsi="宋体" w:hint="eastAsia"/>
          <w:b/>
          <w:sz w:val="21"/>
          <w:szCs w:val="21"/>
        </w:rPr>
        <w:t>表</w:t>
      </w:r>
      <w:r>
        <w:rPr>
          <w:rFonts w:hint="eastAsia"/>
          <w:b/>
          <w:sz w:val="21"/>
          <w:szCs w:val="21"/>
        </w:rPr>
        <w:t>3</w:t>
      </w:r>
      <w:r>
        <w:rPr>
          <w:b/>
          <w:sz w:val="21"/>
          <w:szCs w:val="21"/>
        </w:rPr>
        <w:t xml:space="preserve">.0.4 </w:t>
      </w:r>
      <w:r>
        <w:rPr>
          <w:rFonts w:ascii="宋体" w:hAnsi="宋体" w:hint="eastAsia"/>
          <w:b/>
          <w:sz w:val="21"/>
          <w:szCs w:val="21"/>
        </w:rPr>
        <w:t>三星级高品质小区选配内容</w:t>
      </w:r>
    </w:p>
    <w:tbl>
      <w:tblPr>
        <w:tblStyle w:val="af0"/>
        <w:tblW w:w="792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6"/>
        <w:gridCol w:w="1701"/>
        <w:gridCol w:w="5386"/>
      </w:tblGrid>
      <w:tr w:rsidR="00622EE7" w14:paraId="19241E67" w14:textId="77777777">
        <w:trPr>
          <w:trHeight w:val="20"/>
          <w:jc w:val="center"/>
        </w:trPr>
        <w:tc>
          <w:tcPr>
            <w:tcW w:w="836" w:type="dxa"/>
            <w:tcBorders>
              <w:top w:val="single" w:sz="12" w:space="0" w:color="auto"/>
              <w:left w:val="single" w:sz="12" w:space="0" w:color="auto"/>
              <w:bottom w:val="single" w:sz="4" w:space="0" w:color="auto"/>
              <w:right w:val="single" w:sz="4" w:space="0" w:color="auto"/>
            </w:tcBorders>
          </w:tcPr>
          <w:p w14:paraId="3E0023D9" w14:textId="77777777" w:rsidR="00622EE7" w:rsidRDefault="00E60909">
            <w:pPr>
              <w:pStyle w:val="afb"/>
              <w:jc w:val="center"/>
              <w:rPr>
                <w:rFonts w:ascii="宋体" w:hAnsi="宋体"/>
                <w:sz w:val="21"/>
                <w:szCs w:val="21"/>
              </w:rPr>
            </w:pPr>
            <w:r>
              <w:rPr>
                <w:rFonts w:ascii="宋体" w:hAnsi="宋体" w:hint="eastAsia"/>
                <w:sz w:val="21"/>
                <w:szCs w:val="21"/>
              </w:rPr>
              <w:t>序号</w:t>
            </w:r>
          </w:p>
        </w:tc>
        <w:tc>
          <w:tcPr>
            <w:tcW w:w="1701" w:type="dxa"/>
            <w:tcBorders>
              <w:top w:val="single" w:sz="12" w:space="0" w:color="auto"/>
              <w:left w:val="single" w:sz="4" w:space="0" w:color="auto"/>
              <w:bottom w:val="single" w:sz="4" w:space="0" w:color="auto"/>
              <w:right w:val="single" w:sz="4" w:space="0" w:color="auto"/>
            </w:tcBorders>
          </w:tcPr>
          <w:p w14:paraId="266C0DCE" w14:textId="77777777" w:rsidR="00622EE7" w:rsidRDefault="00E60909">
            <w:pPr>
              <w:pStyle w:val="afb"/>
              <w:jc w:val="center"/>
              <w:rPr>
                <w:rFonts w:ascii="宋体" w:hAnsi="宋体"/>
                <w:sz w:val="21"/>
                <w:szCs w:val="21"/>
              </w:rPr>
            </w:pPr>
            <w:r>
              <w:rPr>
                <w:rFonts w:ascii="宋体" w:hAnsi="宋体" w:hint="eastAsia"/>
                <w:sz w:val="21"/>
                <w:szCs w:val="21"/>
              </w:rPr>
              <w:t>阶段</w:t>
            </w:r>
          </w:p>
        </w:tc>
        <w:tc>
          <w:tcPr>
            <w:tcW w:w="5386" w:type="dxa"/>
            <w:tcBorders>
              <w:top w:val="single" w:sz="12" w:space="0" w:color="auto"/>
              <w:left w:val="single" w:sz="4" w:space="0" w:color="auto"/>
              <w:bottom w:val="single" w:sz="4" w:space="0" w:color="auto"/>
              <w:right w:val="single" w:sz="12" w:space="0" w:color="auto"/>
            </w:tcBorders>
          </w:tcPr>
          <w:p w14:paraId="1A5A66BD" w14:textId="77777777" w:rsidR="00622EE7" w:rsidRDefault="00E60909">
            <w:pPr>
              <w:pStyle w:val="afb"/>
              <w:jc w:val="center"/>
              <w:rPr>
                <w:rFonts w:ascii="宋体" w:hAnsi="宋体"/>
                <w:sz w:val="21"/>
                <w:szCs w:val="21"/>
              </w:rPr>
            </w:pPr>
            <w:r>
              <w:rPr>
                <w:rFonts w:ascii="宋体" w:hAnsi="宋体" w:hint="eastAsia"/>
                <w:sz w:val="21"/>
                <w:szCs w:val="21"/>
              </w:rPr>
              <w:t>类型</w:t>
            </w:r>
          </w:p>
        </w:tc>
      </w:tr>
      <w:tr w:rsidR="00622EE7" w14:paraId="14D615E7"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19AF22AC" w14:textId="77777777" w:rsidR="00622EE7" w:rsidRDefault="00E60909">
            <w:pPr>
              <w:pStyle w:val="afb"/>
              <w:jc w:val="center"/>
              <w:rPr>
                <w:rFonts w:ascii="宋体" w:hAnsi="宋体"/>
                <w:sz w:val="21"/>
                <w:szCs w:val="21"/>
              </w:rPr>
            </w:pPr>
            <w:r>
              <w:rPr>
                <w:rFonts w:ascii="宋体" w:hAnsi="宋体" w:hint="eastAsia"/>
                <w:sz w:val="21"/>
                <w:szCs w:val="21"/>
              </w:rPr>
              <w:t>1</w:t>
            </w:r>
          </w:p>
        </w:tc>
        <w:tc>
          <w:tcPr>
            <w:tcW w:w="1701" w:type="dxa"/>
            <w:vMerge w:val="restart"/>
            <w:tcBorders>
              <w:top w:val="single" w:sz="4" w:space="0" w:color="auto"/>
              <w:left w:val="single" w:sz="4" w:space="0" w:color="auto"/>
              <w:right w:val="single" w:sz="4" w:space="0" w:color="auto"/>
            </w:tcBorders>
            <w:vAlign w:val="center"/>
          </w:tcPr>
          <w:p w14:paraId="6ED1DE5F" w14:textId="77777777" w:rsidR="00622EE7" w:rsidRDefault="00E60909">
            <w:pPr>
              <w:pStyle w:val="afb"/>
              <w:jc w:val="center"/>
              <w:rPr>
                <w:rFonts w:ascii="宋体" w:hAnsi="宋体"/>
                <w:sz w:val="21"/>
                <w:szCs w:val="21"/>
              </w:rPr>
            </w:pPr>
            <w:r>
              <w:rPr>
                <w:rFonts w:ascii="宋体" w:hAnsi="宋体" w:hint="eastAsia"/>
                <w:sz w:val="21"/>
                <w:szCs w:val="21"/>
              </w:rPr>
              <w:t>技术体系</w:t>
            </w:r>
          </w:p>
        </w:tc>
        <w:tc>
          <w:tcPr>
            <w:tcW w:w="5386" w:type="dxa"/>
            <w:tcBorders>
              <w:top w:val="single" w:sz="4" w:space="0" w:color="auto"/>
              <w:left w:val="single" w:sz="4" w:space="0" w:color="auto"/>
              <w:bottom w:val="single" w:sz="4" w:space="0" w:color="auto"/>
              <w:right w:val="single" w:sz="12" w:space="0" w:color="auto"/>
            </w:tcBorders>
            <w:vAlign w:val="center"/>
          </w:tcPr>
          <w:p w14:paraId="044CE411" w14:textId="77777777" w:rsidR="00622EE7" w:rsidRDefault="00E60909">
            <w:pPr>
              <w:pStyle w:val="afb"/>
              <w:rPr>
                <w:rFonts w:ascii="宋体" w:hAnsi="宋体"/>
                <w:sz w:val="21"/>
                <w:szCs w:val="21"/>
              </w:rPr>
            </w:pPr>
            <w:r>
              <w:rPr>
                <w:rFonts w:ascii="宋体" w:hAnsi="宋体" w:hint="eastAsia"/>
                <w:sz w:val="21"/>
                <w:szCs w:val="21"/>
              </w:rPr>
              <w:t>采用超低能耗技术体系</w:t>
            </w:r>
          </w:p>
        </w:tc>
      </w:tr>
      <w:tr w:rsidR="00622EE7" w14:paraId="7C3EA7FA"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7412FB75" w14:textId="77777777" w:rsidR="00622EE7" w:rsidRDefault="00E60909">
            <w:pPr>
              <w:pStyle w:val="afb"/>
              <w:jc w:val="center"/>
              <w:rPr>
                <w:rFonts w:ascii="宋体" w:hAnsi="宋体"/>
                <w:sz w:val="21"/>
                <w:szCs w:val="21"/>
              </w:rPr>
            </w:pPr>
            <w:r>
              <w:rPr>
                <w:rFonts w:ascii="宋体" w:hAnsi="宋体" w:hint="eastAsia"/>
                <w:sz w:val="21"/>
                <w:szCs w:val="21"/>
              </w:rPr>
              <w:t>2</w:t>
            </w:r>
          </w:p>
        </w:tc>
        <w:tc>
          <w:tcPr>
            <w:tcW w:w="1701" w:type="dxa"/>
            <w:vMerge/>
            <w:tcBorders>
              <w:left w:val="single" w:sz="4" w:space="0" w:color="auto"/>
              <w:right w:val="single" w:sz="4" w:space="0" w:color="auto"/>
            </w:tcBorders>
            <w:vAlign w:val="center"/>
          </w:tcPr>
          <w:p w14:paraId="1745AEB8"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674C7C05" w14:textId="77777777" w:rsidR="00622EE7" w:rsidRDefault="00E60909">
            <w:pPr>
              <w:pStyle w:val="afb"/>
              <w:rPr>
                <w:rFonts w:ascii="宋体" w:hAnsi="宋体"/>
                <w:sz w:val="21"/>
                <w:szCs w:val="21"/>
              </w:rPr>
            </w:pPr>
            <w:r>
              <w:rPr>
                <w:rFonts w:ascii="宋体" w:hAnsi="宋体" w:hint="eastAsia"/>
                <w:sz w:val="21"/>
                <w:szCs w:val="21"/>
              </w:rPr>
              <w:t>采用管线分离等装配式内装修技术并选用装配式内装修部品</w:t>
            </w:r>
          </w:p>
        </w:tc>
      </w:tr>
      <w:tr w:rsidR="00622EE7" w14:paraId="48E0A32F"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0ABF0BB3" w14:textId="77777777" w:rsidR="00622EE7" w:rsidRDefault="00E60909">
            <w:pPr>
              <w:pStyle w:val="afb"/>
              <w:jc w:val="center"/>
              <w:rPr>
                <w:rFonts w:ascii="宋体" w:hAnsi="宋体"/>
                <w:sz w:val="21"/>
                <w:szCs w:val="21"/>
              </w:rPr>
            </w:pPr>
            <w:r>
              <w:rPr>
                <w:rFonts w:ascii="宋体" w:hAnsi="宋体" w:hint="eastAsia"/>
                <w:sz w:val="21"/>
                <w:szCs w:val="21"/>
              </w:rPr>
              <w:t>3</w:t>
            </w:r>
          </w:p>
        </w:tc>
        <w:tc>
          <w:tcPr>
            <w:tcW w:w="1701" w:type="dxa"/>
            <w:vMerge/>
            <w:tcBorders>
              <w:left w:val="single" w:sz="4" w:space="0" w:color="auto"/>
              <w:bottom w:val="single" w:sz="4" w:space="0" w:color="auto"/>
              <w:right w:val="single" w:sz="4" w:space="0" w:color="auto"/>
            </w:tcBorders>
            <w:vAlign w:val="center"/>
          </w:tcPr>
          <w:p w14:paraId="5E307877"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048A4E0B" w14:textId="77777777" w:rsidR="00622EE7" w:rsidRDefault="00E60909">
            <w:pPr>
              <w:pStyle w:val="afb"/>
              <w:rPr>
                <w:rFonts w:ascii="宋体" w:hAnsi="宋体"/>
                <w:sz w:val="21"/>
                <w:szCs w:val="21"/>
              </w:rPr>
            </w:pPr>
            <w:r>
              <w:rPr>
                <w:rFonts w:ascii="宋体" w:hAnsi="宋体" w:hint="eastAsia"/>
                <w:sz w:val="21"/>
                <w:szCs w:val="21"/>
              </w:rPr>
              <w:t>采用同层排水、</w:t>
            </w:r>
            <w:proofErr w:type="gramStart"/>
            <w:r>
              <w:rPr>
                <w:rFonts w:ascii="宋体" w:hAnsi="宋体" w:hint="eastAsia"/>
                <w:sz w:val="21"/>
                <w:szCs w:val="21"/>
              </w:rPr>
              <w:t>同层排油烟</w:t>
            </w:r>
            <w:proofErr w:type="gramEnd"/>
            <w:r>
              <w:rPr>
                <w:rFonts w:ascii="宋体" w:hAnsi="宋体" w:hint="eastAsia"/>
                <w:sz w:val="21"/>
                <w:szCs w:val="21"/>
              </w:rPr>
              <w:t>技术</w:t>
            </w:r>
          </w:p>
        </w:tc>
      </w:tr>
      <w:tr w:rsidR="00622EE7" w14:paraId="4AF626D7"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6CE11BD6" w14:textId="77777777" w:rsidR="00622EE7" w:rsidRDefault="00E60909">
            <w:pPr>
              <w:pStyle w:val="afb"/>
              <w:jc w:val="center"/>
              <w:rPr>
                <w:rFonts w:ascii="宋体" w:hAnsi="宋体"/>
                <w:sz w:val="21"/>
                <w:szCs w:val="21"/>
              </w:rPr>
            </w:pPr>
            <w:r>
              <w:rPr>
                <w:rFonts w:ascii="宋体" w:hAnsi="宋体" w:hint="eastAsia"/>
                <w:sz w:val="21"/>
                <w:szCs w:val="21"/>
              </w:rPr>
              <w:t>4</w:t>
            </w:r>
          </w:p>
        </w:tc>
        <w:tc>
          <w:tcPr>
            <w:tcW w:w="1701" w:type="dxa"/>
            <w:vMerge w:val="restart"/>
            <w:tcBorders>
              <w:top w:val="single" w:sz="4" w:space="0" w:color="auto"/>
              <w:left w:val="single" w:sz="4" w:space="0" w:color="auto"/>
              <w:right w:val="single" w:sz="4" w:space="0" w:color="auto"/>
            </w:tcBorders>
            <w:vAlign w:val="center"/>
          </w:tcPr>
          <w:p w14:paraId="12F5D1D0" w14:textId="77777777" w:rsidR="00622EE7" w:rsidRDefault="00E60909">
            <w:pPr>
              <w:pStyle w:val="afb"/>
              <w:jc w:val="center"/>
              <w:rPr>
                <w:rFonts w:ascii="宋体" w:hAnsi="宋体"/>
                <w:sz w:val="21"/>
                <w:szCs w:val="21"/>
              </w:rPr>
            </w:pPr>
            <w:r>
              <w:rPr>
                <w:rFonts w:ascii="宋体" w:hAnsi="宋体" w:hint="eastAsia"/>
                <w:sz w:val="21"/>
                <w:szCs w:val="21"/>
              </w:rPr>
              <w:t>选材与选型</w:t>
            </w:r>
          </w:p>
        </w:tc>
        <w:tc>
          <w:tcPr>
            <w:tcW w:w="5386" w:type="dxa"/>
            <w:tcBorders>
              <w:top w:val="single" w:sz="4" w:space="0" w:color="auto"/>
              <w:left w:val="single" w:sz="4" w:space="0" w:color="auto"/>
              <w:bottom w:val="single" w:sz="4" w:space="0" w:color="auto"/>
              <w:right w:val="single" w:sz="12" w:space="0" w:color="auto"/>
            </w:tcBorders>
            <w:vAlign w:val="center"/>
          </w:tcPr>
          <w:p w14:paraId="7B7ECFC8" w14:textId="77777777" w:rsidR="00622EE7" w:rsidRDefault="00E60909">
            <w:pPr>
              <w:pStyle w:val="afb"/>
              <w:rPr>
                <w:rFonts w:ascii="宋体" w:hAnsi="宋体"/>
                <w:sz w:val="21"/>
                <w:szCs w:val="21"/>
              </w:rPr>
            </w:pPr>
            <w:r>
              <w:rPr>
                <w:rFonts w:ascii="宋体" w:hAnsi="宋体" w:hint="eastAsia"/>
                <w:sz w:val="21"/>
                <w:szCs w:val="21"/>
              </w:rPr>
              <w:t>采用装配式条板墙体、装配式骨架复合板墙体、保温结构一体化墙体等新型墙体</w:t>
            </w:r>
          </w:p>
        </w:tc>
      </w:tr>
      <w:tr w:rsidR="00622EE7" w14:paraId="2C5B4396"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603CD142" w14:textId="77777777" w:rsidR="00622EE7" w:rsidRDefault="00E60909">
            <w:pPr>
              <w:pStyle w:val="afb"/>
              <w:jc w:val="center"/>
              <w:rPr>
                <w:rFonts w:ascii="宋体" w:hAnsi="宋体"/>
                <w:sz w:val="21"/>
                <w:szCs w:val="21"/>
              </w:rPr>
            </w:pPr>
            <w:r>
              <w:rPr>
                <w:rFonts w:ascii="宋体" w:hAnsi="宋体" w:hint="eastAsia"/>
                <w:sz w:val="21"/>
                <w:szCs w:val="21"/>
              </w:rPr>
              <w:t>5</w:t>
            </w:r>
          </w:p>
        </w:tc>
        <w:tc>
          <w:tcPr>
            <w:tcW w:w="1701" w:type="dxa"/>
            <w:vMerge/>
            <w:tcBorders>
              <w:left w:val="single" w:sz="4" w:space="0" w:color="auto"/>
              <w:bottom w:val="single" w:sz="4" w:space="0" w:color="auto"/>
              <w:right w:val="single" w:sz="4" w:space="0" w:color="auto"/>
            </w:tcBorders>
            <w:vAlign w:val="center"/>
          </w:tcPr>
          <w:p w14:paraId="1834B1F0"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389AF950" w14:textId="77777777" w:rsidR="00622EE7" w:rsidRDefault="00E60909">
            <w:pPr>
              <w:pStyle w:val="afb"/>
              <w:rPr>
                <w:rFonts w:ascii="宋体" w:hAnsi="宋体"/>
                <w:sz w:val="21"/>
                <w:szCs w:val="21"/>
              </w:rPr>
            </w:pPr>
            <w:r>
              <w:rPr>
                <w:rFonts w:ascii="宋体" w:hAnsi="宋体" w:hint="eastAsia"/>
                <w:sz w:val="21"/>
                <w:szCs w:val="21"/>
              </w:rPr>
              <w:t>选用绿色建材，应用比例不低于</w:t>
            </w:r>
            <w:r>
              <w:rPr>
                <w:rFonts w:ascii="宋体" w:hAnsi="宋体" w:hint="eastAsia"/>
                <w:sz w:val="21"/>
                <w:szCs w:val="21"/>
              </w:rPr>
              <w:t>10%</w:t>
            </w:r>
          </w:p>
        </w:tc>
      </w:tr>
      <w:tr w:rsidR="00622EE7" w14:paraId="4B09D554"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443C9CF2" w14:textId="77777777" w:rsidR="00622EE7" w:rsidRDefault="00E60909">
            <w:pPr>
              <w:pStyle w:val="afb"/>
              <w:jc w:val="center"/>
              <w:rPr>
                <w:rFonts w:ascii="宋体" w:hAnsi="宋体"/>
                <w:sz w:val="21"/>
                <w:szCs w:val="21"/>
              </w:rPr>
            </w:pPr>
            <w:r>
              <w:rPr>
                <w:rFonts w:ascii="宋体" w:hAnsi="宋体" w:hint="eastAsia"/>
                <w:sz w:val="21"/>
                <w:szCs w:val="21"/>
              </w:rPr>
              <w:t>6</w:t>
            </w:r>
          </w:p>
        </w:tc>
        <w:tc>
          <w:tcPr>
            <w:tcW w:w="1701" w:type="dxa"/>
            <w:vMerge w:val="restart"/>
            <w:tcBorders>
              <w:top w:val="single" w:sz="4" w:space="0" w:color="auto"/>
              <w:left w:val="single" w:sz="4" w:space="0" w:color="auto"/>
              <w:right w:val="single" w:sz="4" w:space="0" w:color="auto"/>
            </w:tcBorders>
            <w:vAlign w:val="center"/>
          </w:tcPr>
          <w:p w14:paraId="645DC661" w14:textId="77777777" w:rsidR="00622EE7" w:rsidRDefault="00E60909">
            <w:pPr>
              <w:pStyle w:val="afb"/>
              <w:jc w:val="center"/>
              <w:rPr>
                <w:rFonts w:ascii="宋体" w:hAnsi="宋体"/>
                <w:sz w:val="21"/>
                <w:szCs w:val="21"/>
              </w:rPr>
            </w:pPr>
            <w:r>
              <w:rPr>
                <w:rFonts w:ascii="宋体" w:hAnsi="宋体" w:hint="eastAsia"/>
                <w:sz w:val="21"/>
                <w:szCs w:val="21"/>
              </w:rPr>
              <w:t>施工建造</w:t>
            </w:r>
          </w:p>
        </w:tc>
        <w:tc>
          <w:tcPr>
            <w:tcW w:w="5386" w:type="dxa"/>
            <w:tcBorders>
              <w:top w:val="single" w:sz="4" w:space="0" w:color="auto"/>
              <w:left w:val="single" w:sz="4" w:space="0" w:color="auto"/>
              <w:bottom w:val="single" w:sz="4" w:space="0" w:color="auto"/>
              <w:right w:val="single" w:sz="12" w:space="0" w:color="auto"/>
            </w:tcBorders>
            <w:vAlign w:val="center"/>
          </w:tcPr>
          <w:p w14:paraId="7C90689A" w14:textId="77777777" w:rsidR="00622EE7" w:rsidRDefault="00E60909">
            <w:pPr>
              <w:pStyle w:val="afb"/>
              <w:rPr>
                <w:rFonts w:ascii="宋体" w:hAnsi="宋体"/>
                <w:sz w:val="21"/>
                <w:szCs w:val="21"/>
              </w:rPr>
            </w:pPr>
            <w:r>
              <w:rPr>
                <w:rFonts w:ascii="宋体" w:hAnsi="宋体" w:hint="eastAsia"/>
                <w:sz w:val="21"/>
                <w:szCs w:val="21"/>
              </w:rPr>
              <w:t>采用设计、建造一体化</w:t>
            </w:r>
            <w:r>
              <w:rPr>
                <w:rFonts w:ascii="宋体" w:hAnsi="宋体" w:hint="eastAsia"/>
                <w:sz w:val="21"/>
                <w:szCs w:val="21"/>
              </w:rPr>
              <w:t>BIM</w:t>
            </w:r>
            <w:r>
              <w:rPr>
                <w:rFonts w:ascii="宋体" w:hAnsi="宋体" w:hint="eastAsia"/>
                <w:sz w:val="21"/>
                <w:szCs w:val="21"/>
              </w:rPr>
              <w:t>技术设计，并实现数据传递</w:t>
            </w:r>
            <w:r>
              <w:rPr>
                <w:rFonts w:ascii="宋体" w:hAnsi="宋体" w:hint="eastAsia"/>
                <w:sz w:val="21"/>
                <w:szCs w:val="21"/>
              </w:rPr>
              <w:t xml:space="preserve"> </w:t>
            </w:r>
          </w:p>
        </w:tc>
      </w:tr>
      <w:tr w:rsidR="00622EE7" w14:paraId="2787C525"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5349DB3F" w14:textId="77777777" w:rsidR="00622EE7" w:rsidRDefault="00E60909">
            <w:pPr>
              <w:pStyle w:val="afb"/>
              <w:jc w:val="center"/>
              <w:rPr>
                <w:rFonts w:ascii="宋体" w:hAnsi="宋体"/>
                <w:sz w:val="21"/>
                <w:szCs w:val="21"/>
              </w:rPr>
            </w:pPr>
            <w:r>
              <w:rPr>
                <w:rFonts w:ascii="宋体" w:hAnsi="宋体" w:hint="eastAsia"/>
                <w:sz w:val="21"/>
                <w:szCs w:val="21"/>
              </w:rPr>
              <w:t>7</w:t>
            </w:r>
          </w:p>
        </w:tc>
        <w:tc>
          <w:tcPr>
            <w:tcW w:w="1701" w:type="dxa"/>
            <w:vMerge/>
            <w:tcBorders>
              <w:left w:val="single" w:sz="4" w:space="0" w:color="auto"/>
              <w:right w:val="single" w:sz="4" w:space="0" w:color="auto"/>
            </w:tcBorders>
            <w:vAlign w:val="center"/>
          </w:tcPr>
          <w:p w14:paraId="536CD0A9"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108DB5E5" w14:textId="77777777" w:rsidR="00622EE7" w:rsidRDefault="00E60909">
            <w:pPr>
              <w:pStyle w:val="afb"/>
              <w:rPr>
                <w:rFonts w:ascii="宋体" w:hAnsi="宋体"/>
                <w:sz w:val="21"/>
                <w:szCs w:val="21"/>
              </w:rPr>
            </w:pPr>
            <w:r>
              <w:rPr>
                <w:rFonts w:ascii="宋体" w:hAnsi="宋体" w:hint="eastAsia"/>
                <w:sz w:val="21"/>
                <w:szCs w:val="21"/>
              </w:rPr>
              <w:t>采用垃圾减量等绿色施工技术或采用智慧工地技术</w:t>
            </w:r>
          </w:p>
        </w:tc>
      </w:tr>
      <w:tr w:rsidR="00622EE7" w14:paraId="6B2E98B8"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1EA2E3B3" w14:textId="77777777" w:rsidR="00622EE7" w:rsidRDefault="00E60909">
            <w:pPr>
              <w:pStyle w:val="afb"/>
              <w:jc w:val="center"/>
              <w:rPr>
                <w:rFonts w:ascii="宋体" w:hAnsi="宋体"/>
                <w:sz w:val="21"/>
                <w:szCs w:val="21"/>
              </w:rPr>
            </w:pPr>
            <w:r>
              <w:rPr>
                <w:rFonts w:ascii="宋体" w:hAnsi="宋体" w:hint="eastAsia"/>
                <w:sz w:val="21"/>
                <w:szCs w:val="21"/>
              </w:rPr>
              <w:t>8</w:t>
            </w:r>
          </w:p>
        </w:tc>
        <w:tc>
          <w:tcPr>
            <w:tcW w:w="1701" w:type="dxa"/>
            <w:vMerge/>
            <w:tcBorders>
              <w:left w:val="single" w:sz="4" w:space="0" w:color="auto"/>
              <w:bottom w:val="single" w:sz="4" w:space="0" w:color="auto"/>
              <w:right w:val="single" w:sz="4" w:space="0" w:color="auto"/>
            </w:tcBorders>
            <w:vAlign w:val="center"/>
          </w:tcPr>
          <w:p w14:paraId="6A0619E6"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071C7E86" w14:textId="77777777" w:rsidR="00622EE7" w:rsidRDefault="00E60909">
            <w:pPr>
              <w:pStyle w:val="afb"/>
              <w:rPr>
                <w:rFonts w:ascii="宋体" w:hAnsi="宋体"/>
                <w:sz w:val="21"/>
                <w:szCs w:val="21"/>
              </w:rPr>
            </w:pPr>
            <w:r>
              <w:rPr>
                <w:rFonts w:ascii="宋体" w:hAnsi="宋体" w:hint="eastAsia"/>
                <w:sz w:val="21"/>
                <w:szCs w:val="21"/>
              </w:rPr>
              <w:t>按照“草原杯”等、鲁班奖、詹天佑奖等工程质量奖的标准实施施工建造</w:t>
            </w:r>
          </w:p>
        </w:tc>
      </w:tr>
      <w:tr w:rsidR="00622EE7" w14:paraId="0A685E39"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75A5B3F7" w14:textId="77777777" w:rsidR="00622EE7" w:rsidRDefault="00E60909">
            <w:pPr>
              <w:pStyle w:val="afb"/>
              <w:jc w:val="center"/>
              <w:rPr>
                <w:rFonts w:ascii="宋体" w:hAnsi="宋体"/>
                <w:sz w:val="21"/>
                <w:szCs w:val="21"/>
              </w:rPr>
            </w:pPr>
            <w:r>
              <w:rPr>
                <w:rFonts w:ascii="宋体" w:hAnsi="宋体" w:hint="eastAsia"/>
                <w:sz w:val="21"/>
                <w:szCs w:val="21"/>
              </w:rPr>
              <w:t>9</w:t>
            </w:r>
          </w:p>
        </w:tc>
        <w:tc>
          <w:tcPr>
            <w:tcW w:w="1701" w:type="dxa"/>
            <w:vMerge w:val="restart"/>
            <w:tcBorders>
              <w:top w:val="single" w:sz="4" w:space="0" w:color="auto"/>
              <w:left w:val="single" w:sz="4" w:space="0" w:color="auto"/>
              <w:right w:val="single" w:sz="4" w:space="0" w:color="auto"/>
            </w:tcBorders>
            <w:vAlign w:val="center"/>
          </w:tcPr>
          <w:p w14:paraId="70F604F0" w14:textId="77777777" w:rsidR="00622EE7" w:rsidRDefault="00E60909">
            <w:pPr>
              <w:pStyle w:val="afb"/>
              <w:jc w:val="center"/>
              <w:rPr>
                <w:rFonts w:ascii="宋体" w:hAnsi="宋体"/>
                <w:sz w:val="21"/>
                <w:szCs w:val="21"/>
              </w:rPr>
            </w:pPr>
            <w:r>
              <w:rPr>
                <w:rFonts w:ascii="宋体" w:hAnsi="宋体" w:hint="eastAsia"/>
                <w:sz w:val="21"/>
                <w:szCs w:val="21"/>
              </w:rPr>
              <w:t>运维服务</w:t>
            </w:r>
          </w:p>
        </w:tc>
        <w:tc>
          <w:tcPr>
            <w:tcW w:w="5386" w:type="dxa"/>
            <w:tcBorders>
              <w:top w:val="single" w:sz="4" w:space="0" w:color="auto"/>
              <w:left w:val="single" w:sz="4" w:space="0" w:color="auto"/>
              <w:bottom w:val="single" w:sz="4" w:space="0" w:color="auto"/>
              <w:right w:val="single" w:sz="12" w:space="0" w:color="auto"/>
            </w:tcBorders>
            <w:vAlign w:val="center"/>
          </w:tcPr>
          <w:p w14:paraId="29284EEB" w14:textId="77777777" w:rsidR="00622EE7" w:rsidRDefault="00E60909">
            <w:pPr>
              <w:pStyle w:val="afb"/>
              <w:rPr>
                <w:rFonts w:ascii="宋体" w:hAnsi="宋体"/>
                <w:sz w:val="21"/>
                <w:szCs w:val="21"/>
              </w:rPr>
            </w:pPr>
            <w:r>
              <w:rPr>
                <w:rFonts w:ascii="宋体" w:hAnsi="宋体" w:hint="eastAsia"/>
                <w:sz w:val="21"/>
                <w:szCs w:val="21"/>
              </w:rPr>
              <w:t>编制维修维护计划书和建立维修维护档案，进行日常检查、维护、预防性维修</w:t>
            </w:r>
          </w:p>
        </w:tc>
      </w:tr>
      <w:tr w:rsidR="00622EE7" w14:paraId="17725782"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60F363CE" w14:textId="77777777" w:rsidR="00622EE7" w:rsidRDefault="00E60909">
            <w:pPr>
              <w:pStyle w:val="afb"/>
              <w:jc w:val="center"/>
              <w:rPr>
                <w:rFonts w:ascii="宋体" w:hAnsi="宋体"/>
                <w:sz w:val="21"/>
                <w:szCs w:val="21"/>
              </w:rPr>
            </w:pPr>
            <w:r>
              <w:rPr>
                <w:rFonts w:ascii="宋体" w:hAnsi="宋体" w:hint="eastAsia"/>
                <w:sz w:val="21"/>
                <w:szCs w:val="21"/>
              </w:rPr>
              <w:t>1</w:t>
            </w:r>
            <w:r>
              <w:rPr>
                <w:rFonts w:ascii="宋体" w:hAnsi="宋体"/>
                <w:sz w:val="21"/>
                <w:szCs w:val="21"/>
              </w:rPr>
              <w:t>0</w:t>
            </w:r>
          </w:p>
        </w:tc>
        <w:tc>
          <w:tcPr>
            <w:tcW w:w="1701" w:type="dxa"/>
            <w:vMerge/>
            <w:tcBorders>
              <w:left w:val="single" w:sz="4" w:space="0" w:color="auto"/>
              <w:right w:val="single" w:sz="4" w:space="0" w:color="auto"/>
            </w:tcBorders>
            <w:vAlign w:val="center"/>
          </w:tcPr>
          <w:p w14:paraId="7448D164" w14:textId="77777777" w:rsidR="00622EE7" w:rsidRDefault="00622EE7">
            <w:pPr>
              <w:pStyle w:val="afb"/>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2895D753" w14:textId="77777777" w:rsidR="00622EE7" w:rsidRDefault="00E60909">
            <w:pPr>
              <w:pStyle w:val="afb"/>
              <w:rPr>
                <w:rFonts w:ascii="宋体" w:hAnsi="宋体"/>
                <w:sz w:val="21"/>
                <w:szCs w:val="21"/>
              </w:rPr>
            </w:pPr>
            <w:r>
              <w:rPr>
                <w:rFonts w:ascii="宋体" w:hAnsi="宋体"/>
                <w:sz w:val="21"/>
                <w:szCs w:val="21"/>
              </w:rPr>
              <w:t>采用建设工程质量潜在缺陷保险产品</w:t>
            </w:r>
          </w:p>
        </w:tc>
      </w:tr>
      <w:tr w:rsidR="00622EE7" w14:paraId="110385A6"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1893CD3A" w14:textId="77777777" w:rsidR="00622EE7" w:rsidRDefault="00E60909">
            <w:pPr>
              <w:pStyle w:val="afb"/>
              <w:jc w:val="center"/>
              <w:rPr>
                <w:rFonts w:ascii="宋体" w:hAnsi="宋体"/>
                <w:sz w:val="21"/>
                <w:szCs w:val="21"/>
              </w:rPr>
            </w:pPr>
            <w:r>
              <w:rPr>
                <w:rFonts w:ascii="宋体" w:hAnsi="宋体" w:hint="eastAsia"/>
                <w:sz w:val="21"/>
                <w:szCs w:val="21"/>
              </w:rPr>
              <w:t>1</w:t>
            </w:r>
            <w:r>
              <w:rPr>
                <w:rFonts w:ascii="宋体" w:hAnsi="宋体"/>
                <w:sz w:val="21"/>
                <w:szCs w:val="21"/>
              </w:rPr>
              <w:t>1</w:t>
            </w:r>
          </w:p>
        </w:tc>
        <w:tc>
          <w:tcPr>
            <w:tcW w:w="1701" w:type="dxa"/>
            <w:vMerge/>
            <w:tcBorders>
              <w:left w:val="single" w:sz="4" w:space="0" w:color="auto"/>
              <w:right w:val="single" w:sz="4" w:space="0" w:color="auto"/>
            </w:tcBorders>
            <w:vAlign w:val="center"/>
          </w:tcPr>
          <w:p w14:paraId="7934E9FB" w14:textId="77777777" w:rsidR="00622EE7" w:rsidRDefault="00622EE7">
            <w:pPr>
              <w:pStyle w:val="afb"/>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7E01400F" w14:textId="77777777" w:rsidR="00622EE7" w:rsidRDefault="00E60909">
            <w:pPr>
              <w:pStyle w:val="afb"/>
              <w:rPr>
                <w:rFonts w:ascii="宋体" w:hAnsi="宋体"/>
                <w:sz w:val="21"/>
                <w:szCs w:val="21"/>
              </w:rPr>
            </w:pPr>
            <w:r>
              <w:rPr>
                <w:rFonts w:ascii="宋体" w:hAnsi="宋体" w:hint="eastAsia"/>
                <w:sz w:val="21"/>
                <w:szCs w:val="21"/>
              </w:rPr>
              <w:t>采用电子化住宅使用说明书，并包含隐蔽工程记录</w:t>
            </w:r>
          </w:p>
        </w:tc>
      </w:tr>
      <w:tr w:rsidR="00622EE7" w14:paraId="727B54C2" w14:textId="77777777">
        <w:trPr>
          <w:trHeight w:val="20"/>
          <w:jc w:val="center"/>
        </w:trPr>
        <w:tc>
          <w:tcPr>
            <w:tcW w:w="836" w:type="dxa"/>
            <w:tcBorders>
              <w:top w:val="single" w:sz="4" w:space="0" w:color="auto"/>
              <w:left w:val="single" w:sz="12" w:space="0" w:color="auto"/>
              <w:bottom w:val="single" w:sz="12" w:space="0" w:color="auto"/>
              <w:right w:val="single" w:sz="4" w:space="0" w:color="auto"/>
            </w:tcBorders>
            <w:vAlign w:val="center"/>
          </w:tcPr>
          <w:p w14:paraId="4F2AF111" w14:textId="77777777" w:rsidR="00622EE7" w:rsidRDefault="00E60909">
            <w:pPr>
              <w:pStyle w:val="afb"/>
              <w:jc w:val="center"/>
              <w:rPr>
                <w:rFonts w:ascii="宋体" w:hAnsi="宋体"/>
                <w:sz w:val="21"/>
                <w:szCs w:val="21"/>
              </w:rPr>
            </w:pPr>
            <w:r>
              <w:rPr>
                <w:rFonts w:ascii="宋体" w:hAnsi="宋体" w:hint="eastAsia"/>
                <w:sz w:val="21"/>
                <w:szCs w:val="21"/>
              </w:rPr>
              <w:t>1</w:t>
            </w:r>
            <w:r>
              <w:rPr>
                <w:rFonts w:ascii="宋体" w:hAnsi="宋体"/>
                <w:sz w:val="21"/>
                <w:szCs w:val="21"/>
              </w:rPr>
              <w:t>2</w:t>
            </w:r>
          </w:p>
        </w:tc>
        <w:tc>
          <w:tcPr>
            <w:tcW w:w="1701" w:type="dxa"/>
            <w:vMerge/>
            <w:tcBorders>
              <w:left w:val="single" w:sz="4" w:space="0" w:color="auto"/>
              <w:bottom w:val="single" w:sz="12" w:space="0" w:color="auto"/>
              <w:right w:val="single" w:sz="4" w:space="0" w:color="auto"/>
            </w:tcBorders>
            <w:vAlign w:val="center"/>
          </w:tcPr>
          <w:p w14:paraId="3D6F091E" w14:textId="77777777" w:rsidR="00622EE7" w:rsidRDefault="00622EE7">
            <w:pPr>
              <w:pStyle w:val="afb"/>
              <w:rPr>
                <w:rFonts w:ascii="宋体" w:hAnsi="宋体"/>
                <w:sz w:val="21"/>
                <w:szCs w:val="21"/>
              </w:rPr>
            </w:pPr>
          </w:p>
        </w:tc>
        <w:tc>
          <w:tcPr>
            <w:tcW w:w="5386" w:type="dxa"/>
            <w:tcBorders>
              <w:top w:val="single" w:sz="4" w:space="0" w:color="auto"/>
              <w:left w:val="single" w:sz="4" w:space="0" w:color="auto"/>
              <w:bottom w:val="single" w:sz="12" w:space="0" w:color="auto"/>
              <w:right w:val="single" w:sz="12" w:space="0" w:color="auto"/>
            </w:tcBorders>
            <w:vAlign w:val="center"/>
          </w:tcPr>
          <w:p w14:paraId="67BDABF9" w14:textId="77777777" w:rsidR="00622EE7" w:rsidRDefault="00E60909">
            <w:pPr>
              <w:pStyle w:val="afb"/>
              <w:rPr>
                <w:rFonts w:ascii="宋体" w:hAnsi="宋体"/>
                <w:sz w:val="21"/>
                <w:szCs w:val="21"/>
              </w:rPr>
            </w:pPr>
            <w:r>
              <w:rPr>
                <w:rFonts w:ascii="宋体" w:hAnsi="宋体" w:hint="eastAsia"/>
                <w:sz w:val="21"/>
                <w:szCs w:val="21"/>
              </w:rPr>
              <w:t>应用物业智慧管理平台</w:t>
            </w:r>
          </w:p>
        </w:tc>
      </w:tr>
    </w:tbl>
    <w:p w14:paraId="006F8680" w14:textId="77777777" w:rsidR="00622EE7" w:rsidRDefault="00E60909">
      <w:pPr>
        <w:pStyle w:val="1"/>
      </w:pPr>
      <w:bookmarkStart w:id="6" w:name="_Toc182841326"/>
      <w:r>
        <w:lastRenderedPageBreak/>
        <w:t xml:space="preserve">4  </w:t>
      </w:r>
      <w:r>
        <w:rPr>
          <w:rFonts w:hint="eastAsia"/>
        </w:rPr>
        <w:t>技术策划</w:t>
      </w:r>
      <w:bookmarkEnd w:id="6"/>
    </w:p>
    <w:p w14:paraId="51877EE4" w14:textId="77777777" w:rsidR="00622EE7" w:rsidRDefault="00E60909">
      <w:pPr>
        <w:spacing w:beforeLines="50" w:before="163" w:afterLines="50" w:after="163" w:line="360" w:lineRule="auto"/>
        <w:jc w:val="center"/>
        <w:outlineLvl w:val="1"/>
        <w:rPr>
          <w:rFonts w:ascii="Times New Roman" w:eastAsia="黑体" w:hAnsi="Times New Roman"/>
        </w:rPr>
      </w:pPr>
      <w:bookmarkStart w:id="7" w:name="_Toc182841327"/>
      <w:r>
        <w:rPr>
          <w:rFonts w:ascii="Times New Roman" w:eastAsia="黑体" w:hAnsi="Times New Roman"/>
        </w:rPr>
        <w:t xml:space="preserve">4.1 </w:t>
      </w:r>
      <w:r>
        <w:rPr>
          <w:rFonts w:ascii="Times New Roman" w:eastAsia="黑体" w:hAnsi="Times New Roman" w:hint="eastAsia"/>
        </w:rPr>
        <w:t>节能减排策划</w:t>
      </w:r>
      <w:bookmarkEnd w:id="7"/>
    </w:p>
    <w:p w14:paraId="561BD8FB" w14:textId="77777777" w:rsidR="00622EE7" w:rsidRDefault="00E60909">
      <w:pPr>
        <w:spacing w:beforeLines="50" w:before="163" w:afterLines="50" w:after="163" w:line="360" w:lineRule="auto"/>
        <w:jc w:val="center"/>
        <w:outlineLvl w:val="2"/>
        <w:rPr>
          <w:rFonts w:ascii="宋体" w:hAnsi="宋体"/>
        </w:rPr>
      </w:pPr>
      <w:bookmarkStart w:id="8" w:name="_Toc182841328"/>
      <w:r>
        <w:rPr>
          <w:rFonts w:ascii="宋体" w:hAnsi="宋体"/>
        </w:rPr>
        <w:t xml:space="preserve">Ⅰ </w:t>
      </w:r>
      <w:r>
        <w:rPr>
          <w:rFonts w:ascii="宋体" w:hAnsi="宋体"/>
        </w:rPr>
        <w:t>节能与可再生能源</w:t>
      </w:r>
      <w:bookmarkEnd w:id="8"/>
    </w:p>
    <w:p w14:paraId="055FE68F"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高品质住宅小区应采取措施降低建筑全生命周期的碳排放强度</w:t>
      </w:r>
      <w:r>
        <w:rPr>
          <w:rFonts w:hint="eastAsia"/>
        </w:rPr>
        <w:t>，应按照现行国家标准《建筑碳排放计算标准》</w:t>
      </w:r>
      <w:r>
        <w:t>GB/T 51366</w:t>
      </w:r>
      <w:r>
        <w:rPr>
          <w:rFonts w:hint="eastAsia"/>
        </w:rPr>
        <w:t>的要求编制</w:t>
      </w:r>
      <w:r>
        <w:t>建筑碳排放分析报告</w:t>
      </w:r>
      <w:r>
        <w:rPr>
          <w:rFonts w:hint="eastAsia"/>
        </w:rPr>
        <w:t>。</w:t>
      </w:r>
    </w:p>
    <w:p w14:paraId="4B1CB977"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建设项目可行性研究报告、建设方案和初步设计文件应包含</w:t>
      </w:r>
      <w:r>
        <w:rPr>
          <w:rFonts w:hint="eastAsia"/>
        </w:rPr>
        <w:t>绿色建筑、</w:t>
      </w:r>
      <w:r>
        <w:t>建筑能耗、可再生能源利用</w:t>
      </w:r>
      <w:r>
        <w:rPr>
          <w:rFonts w:hint="eastAsia"/>
        </w:rPr>
        <w:t>的相关要求；</w:t>
      </w:r>
      <w:r>
        <w:t>施工图设计文件应明确建筑节能措施及可再生能源利用系统运营管理的技术要求。</w:t>
      </w:r>
    </w:p>
    <w:p w14:paraId="2803E8F1"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高品质住宅小区应结合场地自然条件和建筑功能需求，对建筑的体形、平面布局、空间尺度、围护结构等进行节能设计，</w:t>
      </w:r>
      <w:r>
        <w:rPr>
          <w:rFonts w:hint="eastAsia"/>
        </w:rPr>
        <w:t>应</w:t>
      </w:r>
      <w:r>
        <w:t>符合现行</w:t>
      </w:r>
      <w:r>
        <w:rPr>
          <w:rFonts w:hint="eastAsia"/>
        </w:rPr>
        <w:t>国家标准《建筑节能与可再生能源利用通用规范》</w:t>
      </w:r>
      <w:r>
        <w:rPr>
          <w:rFonts w:hint="eastAsia"/>
        </w:rPr>
        <w:t>G</w:t>
      </w:r>
      <w:r>
        <w:t>B 55015</w:t>
      </w:r>
      <w:r>
        <w:t>的要求。</w:t>
      </w:r>
    </w:p>
    <w:p w14:paraId="390C2FCE" w14:textId="77777777" w:rsidR="00622EE7" w:rsidRDefault="00E60909">
      <w:pPr>
        <w:pStyle w:val="af3"/>
        <w:numPr>
          <w:ilvl w:val="0"/>
          <w:numId w:val="2"/>
        </w:numPr>
        <w:spacing w:beforeLines="25" w:before="81"/>
        <w:ind w:left="0" w:firstLineChars="0" w:firstLine="0"/>
        <w:contextualSpacing/>
        <w:rPr>
          <w:rFonts w:ascii="宋体" w:hAnsi="宋体"/>
        </w:rPr>
      </w:pPr>
      <w:bookmarkStart w:id="9" w:name="OLE_LINK28"/>
      <w:r>
        <w:rPr>
          <w:rFonts w:ascii="楷体" w:eastAsia="楷体" w:hAnsi="楷体" w:hint="eastAsia"/>
        </w:rPr>
        <w:t>【基础项】</w:t>
      </w:r>
      <w:r>
        <w:rPr>
          <w:rFonts w:ascii="宋体" w:hAnsi="宋体" w:hint="eastAsia"/>
        </w:rPr>
        <w:t>应采用能效等级高</w:t>
      </w:r>
      <w:bookmarkEnd w:id="9"/>
      <w:r>
        <w:rPr>
          <w:rFonts w:ascii="宋体" w:hAnsi="宋体" w:hint="eastAsia"/>
        </w:rPr>
        <w:t>的供暖空调设备，并采取智能控制措施，</w:t>
      </w:r>
      <w:bookmarkStart w:id="10" w:name="OLE_LINK27"/>
      <w:r>
        <w:rPr>
          <w:rFonts w:ascii="宋体" w:hAnsi="宋体" w:hint="eastAsia"/>
        </w:rPr>
        <w:t>降低建筑供暖空调系统及照明系统的能耗</w:t>
      </w:r>
      <w:bookmarkEnd w:id="10"/>
      <w:r>
        <w:rPr>
          <w:rFonts w:ascii="宋体" w:hAnsi="宋体" w:hint="eastAsia"/>
        </w:rPr>
        <w:t>。</w:t>
      </w:r>
    </w:p>
    <w:p w14:paraId="2392CBE7"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高品质住宅小区应根据项目具体情况利用可再生能源，如采用可再生能源进行发电、提供生活热水等</w:t>
      </w:r>
      <w:r>
        <w:rPr>
          <w:rFonts w:hint="eastAsia"/>
        </w:rPr>
        <w:t>，可再生能源系统的能耗应单独计量</w:t>
      </w:r>
      <w:r>
        <w:t>。</w:t>
      </w:r>
    </w:p>
    <w:p w14:paraId="51A51D21"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rPr>
          <w:rFonts w:hint="eastAsia"/>
        </w:rPr>
        <w:t>当采用太阳能光伏发电系统时，应满足结构、电气及防火安全的要求，选用的光伏组件使用寿命应高于</w:t>
      </w:r>
      <w:r>
        <w:rPr>
          <w:rFonts w:hint="eastAsia"/>
        </w:rPr>
        <w:t>2</w:t>
      </w:r>
      <w:r>
        <w:t>5</w:t>
      </w:r>
      <w:r>
        <w:rPr>
          <w:rFonts w:hint="eastAsia"/>
        </w:rPr>
        <w:t>年。</w:t>
      </w:r>
    </w:p>
    <w:p w14:paraId="465B6E61"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rPr>
          <w:rFonts w:hint="eastAsia"/>
        </w:rPr>
        <w:t>当采用太阳能热利用系统时，应采取防冻、</w:t>
      </w:r>
      <w:proofErr w:type="gramStart"/>
      <w:r>
        <w:rPr>
          <w:rFonts w:hint="eastAsia"/>
        </w:rPr>
        <w:t>防结露</w:t>
      </w:r>
      <w:proofErr w:type="gramEnd"/>
      <w:r>
        <w:rPr>
          <w:rFonts w:hint="eastAsia"/>
        </w:rPr>
        <w:t>、防过热、防热水渗漏、防雹、防风、抗震和保证电气安全的技术措施，选用的太阳能热水系统的集热效率应≥</w:t>
      </w:r>
      <w:r>
        <w:rPr>
          <w:rFonts w:hint="eastAsia"/>
        </w:rPr>
        <w:t>42%</w:t>
      </w:r>
      <w:r>
        <w:rPr>
          <w:rFonts w:hint="eastAsia"/>
        </w:rPr>
        <w:t>。</w:t>
      </w:r>
    </w:p>
    <w:p w14:paraId="3CA64E96" w14:textId="77777777" w:rsidR="00622EE7" w:rsidRDefault="00E60909">
      <w:pPr>
        <w:spacing w:beforeLines="50" w:before="163" w:afterLines="50" w:after="163" w:line="360" w:lineRule="auto"/>
        <w:jc w:val="center"/>
        <w:outlineLvl w:val="2"/>
        <w:rPr>
          <w:rFonts w:ascii="宋体" w:hAnsi="宋体"/>
        </w:rPr>
      </w:pPr>
      <w:bookmarkStart w:id="11" w:name="_Toc182841329"/>
      <w:r>
        <w:rPr>
          <w:rFonts w:ascii="宋体" w:hAnsi="宋体" w:hint="eastAsia"/>
        </w:rPr>
        <w:t>Ⅱ</w:t>
      </w:r>
      <w:r>
        <w:rPr>
          <w:rFonts w:ascii="宋体" w:hAnsi="宋体"/>
        </w:rPr>
        <w:t xml:space="preserve"> </w:t>
      </w:r>
      <w:r>
        <w:rPr>
          <w:rFonts w:ascii="宋体" w:hAnsi="宋体" w:hint="eastAsia"/>
        </w:rPr>
        <w:t>超低能耗建筑</w:t>
      </w:r>
      <w:bookmarkEnd w:id="11"/>
    </w:p>
    <w:p w14:paraId="5321B80B"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【创新项】</w:t>
      </w:r>
      <w:proofErr w:type="gramStart"/>
      <w:r>
        <w:rPr>
          <w:rFonts w:hint="eastAsia"/>
        </w:rPr>
        <w:t>宜建设</w:t>
      </w:r>
      <w:proofErr w:type="gramEnd"/>
      <w:r>
        <w:rPr>
          <w:rFonts w:hint="eastAsia"/>
        </w:rPr>
        <w:t>超低能耗住宅建筑，当</w:t>
      </w:r>
      <w:r>
        <w:t>采用超低能耗技术体系</w:t>
      </w:r>
      <w:r>
        <w:rPr>
          <w:rFonts w:hint="eastAsia"/>
        </w:rPr>
        <w:t>时，应符合国家标准《</w:t>
      </w:r>
      <w:r>
        <w:t>近零能耗建筑技术标准</w:t>
      </w:r>
      <w:r>
        <w:rPr>
          <w:rFonts w:hint="eastAsia"/>
        </w:rPr>
        <w:t>》</w:t>
      </w:r>
      <w:r>
        <w:t>GB/T 51350</w:t>
      </w:r>
      <w:r>
        <w:rPr>
          <w:rFonts w:hint="eastAsia"/>
        </w:rPr>
        <w:t>对超低能耗室内环境参数和能效指标的要求。</w:t>
      </w:r>
    </w:p>
    <w:p w14:paraId="4F9E58E2"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【创新项】</w:t>
      </w:r>
      <w:r>
        <w:rPr>
          <w:rFonts w:hint="eastAsia"/>
        </w:rPr>
        <w:t>当采用超低能耗技术体系时，应采用性能化设计方法，并应进</w:t>
      </w:r>
      <w:r>
        <w:rPr>
          <w:rFonts w:hint="eastAsia"/>
        </w:rPr>
        <w:lastRenderedPageBreak/>
        <w:t>行消除或削弱热桥的专项设计和气密性专项设计，围护结构保温层应连续。</w:t>
      </w:r>
    </w:p>
    <w:p w14:paraId="08C4BC9B" w14:textId="77777777" w:rsidR="00622EE7" w:rsidRDefault="00E60909">
      <w:pPr>
        <w:spacing w:beforeLines="50" w:before="163" w:afterLines="50" w:after="163" w:line="360" w:lineRule="auto"/>
        <w:jc w:val="center"/>
        <w:outlineLvl w:val="2"/>
        <w:rPr>
          <w:rFonts w:ascii="宋体" w:hAnsi="宋体"/>
        </w:rPr>
      </w:pPr>
      <w:bookmarkStart w:id="12" w:name="_Toc182841330"/>
      <w:r>
        <w:rPr>
          <w:rFonts w:ascii="宋体" w:hAnsi="宋体" w:hint="eastAsia"/>
        </w:rPr>
        <w:t>Ⅲ</w:t>
      </w:r>
      <w:r>
        <w:rPr>
          <w:rFonts w:ascii="宋体" w:hAnsi="宋体"/>
        </w:rPr>
        <w:t xml:space="preserve"> </w:t>
      </w:r>
      <w:r>
        <w:rPr>
          <w:rFonts w:ascii="宋体" w:hAnsi="宋体" w:hint="eastAsia"/>
        </w:rPr>
        <w:t>全生命周期低碳</w:t>
      </w:r>
      <w:bookmarkEnd w:id="12"/>
    </w:p>
    <w:p w14:paraId="7E844C5D"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【创新项】</w:t>
      </w:r>
      <w:r>
        <w:rPr>
          <w:rFonts w:ascii="宋体" w:hAnsi="宋体" w:hint="eastAsia"/>
        </w:rPr>
        <w:t>宜采用同层排水技术，便于后期的维护和改造，降低使用和改造过程中的碳排放，当采用同层排水时，应按现行国家标准《</w:t>
      </w:r>
      <w:r>
        <w:rPr>
          <w:rFonts w:ascii="宋体" w:hAnsi="宋体"/>
        </w:rPr>
        <w:t>建筑与市政工程防水通用规范</w:t>
      </w:r>
      <w:r>
        <w:t>》</w:t>
      </w:r>
      <w:r>
        <w:t>GB 55030</w:t>
      </w:r>
      <w:r>
        <w:rPr>
          <w:rFonts w:ascii="宋体" w:hAnsi="宋体" w:hint="eastAsia"/>
        </w:rPr>
        <w:t>的要求设置防水层。</w:t>
      </w:r>
    </w:p>
    <w:p w14:paraId="3472859F" w14:textId="77777777" w:rsidR="00622EE7" w:rsidRDefault="00E60909">
      <w:pPr>
        <w:pStyle w:val="af3"/>
        <w:numPr>
          <w:ilvl w:val="0"/>
          <w:numId w:val="2"/>
        </w:numPr>
        <w:spacing w:beforeLines="25" w:before="81"/>
        <w:ind w:left="0" w:firstLineChars="0" w:firstLine="0"/>
        <w:contextualSpacing/>
        <w:rPr>
          <w:rFonts w:ascii="宋体" w:hAnsi="宋体"/>
        </w:rPr>
      </w:pPr>
      <w:r>
        <w:rPr>
          <w:rFonts w:ascii="楷体" w:eastAsia="楷体" w:hAnsi="楷体" w:hint="eastAsia"/>
        </w:rPr>
        <w:t>【创新项】</w:t>
      </w:r>
      <w:r>
        <w:rPr>
          <w:rFonts w:ascii="宋体" w:hAnsi="宋体" w:hint="eastAsia"/>
        </w:rPr>
        <w:t>住宅厨房宜</w:t>
      </w:r>
      <w:r>
        <w:rPr>
          <w:rFonts w:ascii="宋体" w:hAnsi="宋体"/>
        </w:rPr>
        <w:t>采用</w:t>
      </w:r>
      <w:proofErr w:type="gramStart"/>
      <w:r>
        <w:rPr>
          <w:rFonts w:ascii="宋体" w:hAnsi="宋体"/>
        </w:rPr>
        <w:t>同层排油烟</w:t>
      </w:r>
      <w:proofErr w:type="gramEnd"/>
      <w:r>
        <w:rPr>
          <w:rFonts w:ascii="宋体" w:hAnsi="宋体"/>
        </w:rPr>
        <w:t>的方式</w:t>
      </w:r>
      <w:r>
        <w:rPr>
          <w:rFonts w:ascii="宋体" w:hAnsi="宋体" w:hint="eastAsia"/>
        </w:rPr>
        <w:t>，便于后期的维护和改造，降低使用和改造过程中的碳排放，</w:t>
      </w:r>
      <w:r>
        <w:rPr>
          <w:rFonts w:ascii="宋体" w:hAnsi="宋体"/>
        </w:rPr>
        <w:t>当采用</w:t>
      </w:r>
      <w:proofErr w:type="gramStart"/>
      <w:r>
        <w:rPr>
          <w:rFonts w:ascii="宋体" w:hAnsi="宋体"/>
        </w:rPr>
        <w:t>同层排油烟</w:t>
      </w:r>
      <w:proofErr w:type="gramEnd"/>
      <w:r>
        <w:rPr>
          <w:rFonts w:ascii="宋体" w:hAnsi="宋体"/>
        </w:rPr>
        <w:t>的方式时，应在室外排气口设置避风、防雨的构件，室外排气口的设置应与建筑外立面相协调，且不应影相邻住户。</w:t>
      </w:r>
    </w:p>
    <w:p w14:paraId="287CE5BA" w14:textId="77777777" w:rsidR="00622EE7" w:rsidRDefault="00E60909">
      <w:pPr>
        <w:pStyle w:val="af3"/>
        <w:numPr>
          <w:ilvl w:val="0"/>
          <w:numId w:val="2"/>
        </w:numPr>
        <w:spacing w:beforeLines="25" w:before="81"/>
        <w:ind w:left="0" w:firstLineChars="0" w:firstLine="0"/>
        <w:contextualSpacing/>
        <w:rPr>
          <w:rFonts w:ascii="宋体" w:hAnsi="宋体"/>
        </w:rPr>
      </w:pPr>
      <w:r>
        <w:rPr>
          <w:rFonts w:ascii="楷体" w:eastAsia="楷体" w:hAnsi="楷体" w:hint="eastAsia"/>
        </w:rPr>
        <w:t>【基础项】</w:t>
      </w:r>
      <w:r>
        <w:rPr>
          <w:rFonts w:ascii="宋体" w:hAnsi="宋体" w:hint="eastAsia"/>
        </w:rPr>
        <w:t>应</w:t>
      </w:r>
      <w:proofErr w:type="gramStart"/>
      <w:r>
        <w:rPr>
          <w:rFonts w:ascii="宋体" w:hAnsi="宋体" w:hint="eastAsia"/>
        </w:rPr>
        <w:t>向业委会</w:t>
      </w:r>
      <w:proofErr w:type="gramEnd"/>
      <w:r>
        <w:rPr>
          <w:rFonts w:ascii="宋体" w:hAnsi="宋体" w:hint="eastAsia"/>
        </w:rPr>
        <w:t>、物业管理单位移交设计图纸，便于后期的维护、维修。</w:t>
      </w:r>
    </w:p>
    <w:p w14:paraId="5A85D68D" w14:textId="77777777" w:rsidR="00622EE7" w:rsidRDefault="00E60909">
      <w:pPr>
        <w:spacing w:beforeLines="50" w:before="163" w:afterLines="50" w:after="163" w:line="360" w:lineRule="auto"/>
        <w:jc w:val="center"/>
        <w:outlineLvl w:val="1"/>
        <w:rPr>
          <w:rFonts w:ascii="Times New Roman" w:eastAsia="黑体" w:hAnsi="Times New Roman"/>
        </w:rPr>
      </w:pPr>
      <w:bookmarkStart w:id="13" w:name="_Toc182841331"/>
      <w:r>
        <w:rPr>
          <w:rFonts w:ascii="Times New Roman" w:eastAsia="黑体" w:hAnsi="Times New Roman"/>
        </w:rPr>
        <w:t>4.2</w:t>
      </w:r>
      <w:r>
        <w:rPr>
          <w:rFonts w:ascii="Times New Roman" w:eastAsia="黑体" w:hAnsi="Times New Roman" w:hint="eastAsia"/>
        </w:rPr>
        <w:t>装修策划</w:t>
      </w:r>
      <w:bookmarkEnd w:id="13"/>
    </w:p>
    <w:p w14:paraId="5B84D216" w14:textId="77777777" w:rsidR="00622EE7" w:rsidRDefault="00E60909">
      <w:pPr>
        <w:spacing w:beforeLines="50" w:before="163" w:afterLines="50" w:after="163" w:line="360" w:lineRule="auto"/>
        <w:jc w:val="center"/>
        <w:outlineLvl w:val="2"/>
        <w:rPr>
          <w:rFonts w:ascii="宋体" w:hAnsi="宋体"/>
        </w:rPr>
      </w:pPr>
      <w:bookmarkStart w:id="14" w:name="_Toc182841332"/>
      <w:r>
        <w:rPr>
          <w:rFonts w:ascii="宋体" w:hAnsi="宋体" w:hint="eastAsia"/>
        </w:rPr>
        <w:t>Ⅰ</w:t>
      </w:r>
      <w:r>
        <w:rPr>
          <w:rFonts w:ascii="宋体" w:hAnsi="宋体" w:hint="eastAsia"/>
        </w:rPr>
        <w:t xml:space="preserve"> </w:t>
      </w:r>
      <w:r>
        <w:rPr>
          <w:rFonts w:ascii="宋体" w:hAnsi="宋体" w:hint="eastAsia"/>
        </w:rPr>
        <w:t>全装修</w:t>
      </w:r>
      <w:bookmarkEnd w:id="14"/>
    </w:p>
    <w:p w14:paraId="117C814B"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hint="eastAsia"/>
        </w:rPr>
        <w:t>三星级高品质住宅小区应实施全装修交付，有条件的项目宜采用装配式内装修。</w:t>
      </w:r>
    </w:p>
    <w:p w14:paraId="7078D1EA"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ascii="宋体" w:hAnsi="宋体" w:hint="eastAsia"/>
        </w:rPr>
        <w:t>当住宅采用全装修交付时，</w:t>
      </w:r>
      <w:r>
        <w:rPr>
          <w:rFonts w:hint="eastAsia"/>
        </w:rPr>
        <w:t>应与建筑一体化设计，并宜</w:t>
      </w:r>
      <w:r>
        <w:t>有个性化配置方案。</w:t>
      </w:r>
    </w:p>
    <w:p w14:paraId="6619FCA2"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ascii="宋体" w:hAnsi="宋体" w:hint="eastAsia"/>
        </w:rPr>
        <w:t>当住宅采用全装修交付时，</w:t>
      </w:r>
      <w:r>
        <w:t>住宅全装修设计各部位完成面的净高、净宽等，应符合国家现行标准《民用建筑通用规范》</w:t>
      </w:r>
      <w:r>
        <w:t>GB 55031</w:t>
      </w:r>
      <w:r>
        <w:t>、</w:t>
      </w:r>
      <w:r>
        <w:t>《住宅室</w:t>
      </w:r>
      <w:r>
        <w:rPr>
          <w:rFonts w:hint="eastAsia"/>
        </w:rPr>
        <w:t>内装饰装修设计规范》</w:t>
      </w:r>
      <w:r>
        <w:t>JGJ 367</w:t>
      </w:r>
      <w:r>
        <w:rPr>
          <w:rFonts w:hint="eastAsia"/>
        </w:rPr>
        <w:t>的有关规定，</w:t>
      </w:r>
      <w:r>
        <w:t>各部位的材料及构造措施应达到相应的燃烧性能和耐火等级</w:t>
      </w:r>
      <w:r>
        <w:rPr>
          <w:rFonts w:hint="eastAsia"/>
        </w:rPr>
        <w:t>的要求</w:t>
      </w:r>
      <w:r>
        <w:t>。</w:t>
      </w:r>
    </w:p>
    <w:p w14:paraId="0DFDD228"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ascii="宋体" w:hAnsi="宋体" w:hint="eastAsia"/>
        </w:rPr>
        <w:t>当住宅采用全装修交付时，</w:t>
      </w:r>
      <w:r>
        <w:rPr>
          <w:rFonts w:hint="eastAsia"/>
        </w:rPr>
        <w:t>住宅全装修设计应结合生产、施工等环节的偏差，设置合理公差。</w:t>
      </w:r>
      <w:r>
        <w:t>隔墙、固定橱柜、设备、管井等部品部件，宜采用分模数</w:t>
      </w:r>
      <w:r>
        <w:t>M/2</w:t>
      </w:r>
      <w:r>
        <w:t>模数网格</w:t>
      </w:r>
      <w:r>
        <w:rPr>
          <w:rFonts w:hint="eastAsia"/>
        </w:rPr>
        <w:t>；</w:t>
      </w:r>
      <w:r>
        <w:t>构造节点和部品部件接口等宜采用分模数</w:t>
      </w:r>
      <w:r>
        <w:t>M/2</w:t>
      </w:r>
      <w:r>
        <w:t>、</w:t>
      </w:r>
      <w:r>
        <w:t>M/5</w:t>
      </w:r>
      <w:r>
        <w:t>、</w:t>
      </w:r>
      <w:r>
        <w:t>M/10</w:t>
      </w:r>
      <w:r>
        <w:t>模数网格。</w:t>
      </w:r>
    </w:p>
    <w:p w14:paraId="5D74134F" w14:textId="77777777" w:rsidR="00622EE7" w:rsidRDefault="00E60909">
      <w:pPr>
        <w:pStyle w:val="af3"/>
        <w:numPr>
          <w:ilvl w:val="0"/>
          <w:numId w:val="3"/>
        </w:numPr>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全装修交付的住宅应进行智能化专项设计。</w:t>
      </w:r>
    </w:p>
    <w:p w14:paraId="4915A22E" w14:textId="77777777" w:rsidR="00622EE7" w:rsidRDefault="00E60909">
      <w:pPr>
        <w:spacing w:beforeLines="50" w:before="163" w:afterLines="50" w:after="163" w:line="360" w:lineRule="auto"/>
        <w:jc w:val="center"/>
        <w:outlineLvl w:val="2"/>
        <w:rPr>
          <w:rFonts w:ascii="宋体" w:hAnsi="宋体"/>
        </w:rPr>
      </w:pPr>
      <w:bookmarkStart w:id="15" w:name="_Toc182841333"/>
      <w:r>
        <w:rPr>
          <w:rFonts w:ascii="宋体" w:hAnsi="宋体" w:hint="eastAsia"/>
        </w:rPr>
        <w:lastRenderedPageBreak/>
        <w:t>Ⅱ</w:t>
      </w:r>
      <w:r>
        <w:rPr>
          <w:rFonts w:ascii="宋体" w:hAnsi="宋体" w:hint="eastAsia"/>
        </w:rPr>
        <w:t xml:space="preserve"> </w:t>
      </w:r>
      <w:r>
        <w:rPr>
          <w:rFonts w:ascii="宋体" w:hAnsi="宋体" w:hint="eastAsia"/>
        </w:rPr>
        <w:t>装配式内装修</w:t>
      </w:r>
      <w:bookmarkEnd w:id="15"/>
    </w:p>
    <w:p w14:paraId="5DFB8870"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hint="eastAsia"/>
        </w:rPr>
        <w:t>当采用装配式内装修时，设计流程</w:t>
      </w:r>
      <w:proofErr w:type="gramStart"/>
      <w:r>
        <w:rPr>
          <w:rFonts w:hint="eastAsia"/>
        </w:rPr>
        <w:t>宜按照</w:t>
      </w:r>
      <w:proofErr w:type="gramEnd"/>
      <w:r>
        <w:rPr>
          <w:rFonts w:hint="eastAsia"/>
        </w:rPr>
        <w:t>技术策划、方案设计、部品集成与选型和深化设计四个阶段</w:t>
      </w:r>
      <w:r>
        <w:rPr>
          <w:rFonts w:hint="eastAsia"/>
        </w:rPr>
        <w:t>进行。</w:t>
      </w:r>
    </w:p>
    <w:p w14:paraId="15AE26B4"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hint="eastAsia"/>
        </w:rPr>
        <w:t>当采用</w:t>
      </w:r>
      <w:r>
        <w:t>装配式内装修</w:t>
      </w:r>
      <w:r>
        <w:rPr>
          <w:rFonts w:hint="eastAsia"/>
        </w:rPr>
        <w:t>时，宜采用管线分离的技术体系，</w:t>
      </w:r>
      <w:r>
        <w:t>满足室内设备和管线检修维护的要求</w:t>
      </w:r>
      <w:r>
        <w:rPr>
          <w:rFonts w:hint="eastAsia"/>
        </w:rPr>
        <w:t>。</w:t>
      </w:r>
    </w:p>
    <w:p w14:paraId="550F7E16"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装配式内装修应采用标准化、模块化的设计方法</w:t>
      </w:r>
      <w:r>
        <w:rPr>
          <w:rFonts w:hint="eastAsia"/>
        </w:rPr>
        <w:t>，</w:t>
      </w:r>
      <w:r>
        <w:t>装配式内装修部品应采用通用化设计和标准化接口</w:t>
      </w:r>
      <w:r>
        <w:rPr>
          <w:rFonts w:hint="eastAsia"/>
        </w:rPr>
        <w:t>。宜选用通用化部品进行多样化组合，满足个性化要求。</w:t>
      </w:r>
    </w:p>
    <w:p w14:paraId="4E6502C2"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装配式内装修部品选型宜在建筑设计阶段进行，部品选型时应明确关键技术参数，并应优选质量稳定、品质高、耐用性强、抗菌防霉的部品。墙面、吊顶、地面</w:t>
      </w:r>
      <w:r>
        <w:rPr>
          <w:rFonts w:hint="eastAsia"/>
        </w:rPr>
        <w:t>排板设计</w:t>
      </w:r>
      <w:r>
        <w:t>应在满足设计要求前提下</w:t>
      </w:r>
      <w:r>
        <w:t>,</w:t>
      </w:r>
      <w:r>
        <w:t>以美观、节材、便于生产、运输和安装为原则</w:t>
      </w:r>
      <w:r>
        <w:t>,</w:t>
      </w:r>
      <w:r>
        <w:t>并应避免出现过大或过小规格。</w:t>
      </w:r>
    </w:p>
    <w:p w14:paraId="1427B47B"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装配式内装修施工图纸应采用空间净尺寸标注，表达深度应满足装配化施工的要求。</w:t>
      </w:r>
    </w:p>
    <w:p w14:paraId="52438AA7"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装配式内装修应与土建工程、设备和管线安装工程明确施工界面，并宜采用同步穿插施工的组织方式，提升施工效率</w:t>
      </w:r>
      <w:r>
        <w:rPr>
          <w:rFonts w:hint="eastAsia"/>
        </w:rPr>
        <w:t>。</w:t>
      </w:r>
    </w:p>
    <w:p w14:paraId="042B1CD0" w14:textId="77777777" w:rsidR="00622EE7" w:rsidRDefault="00E60909">
      <w:pPr>
        <w:spacing w:beforeLines="50" w:before="163" w:afterLines="50" w:after="163" w:line="360" w:lineRule="auto"/>
        <w:jc w:val="center"/>
        <w:outlineLvl w:val="1"/>
        <w:rPr>
          <w:rFonts w:ascii="Times New Roman" w:eastAsia="黑体" w:hAnsi="Times New Roman"/>
        </w:rPr>
      </w:pPr>
      <w:bookmarkStart w:id="16" w:name="_Toc182841334"/>
      <w:r>
        <w:rPr>
          <w:rFonts w:ascii="Times New Roman" w:eastAsia="黑体" w:hAnsi="Times New Roman" w:hint="eastAsia"/>
        </w:rPr>
        <w:t>4</w:t>
      </w:r>
      <w:r>
        <w:rPr>
          <w:rFonts w:ascii="Times New Roman" w:eastAsia="黑体" w:hAnsi="Times New Roman"/>
        </w:rPr>
        <w:t xml:space="preserve">.3 </w:t>
      </w:r>
      <w:r>
        <w:rPr>
          <w:rFonts w:ascii="Times New Roman" w:eastAsia="黑体" w:hAnsi="Times New Roman" w:hint="eastAsia"/>
        </w:rPr>
        <w:t>绿色和低碳建材</w:t>
      </w:r>
      <w:bookmarkEnd w:id="16"/>
    </w:p>
    <w:p w14:paraId="04FCF982"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【基础项】</w:t>
      </w:r>
      <w:r>
        <w:rPr>
          <w:rFonts w:hint="eastAsia"/>
        </w:rPr>
        <w:t>高品质住宅小区工程所用的</w:t>
      </w:r>
      <w:r>
        <w:t>现浇混凝</w:t>
      </w:r>
      <w:r>
        <w:t>土应采用预拌混凝土，建筑砂浆应采用预拌砂浆。</w:t>
      </w:r>
    </w:p>
    <w:p w14:paraId="77FCAE90"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【品质项】</w:t>
      </w:r>
      <w:r>
        <w:rPr>
          <w:rFonts w:hint="eastAsia"/>
        </w:rPr>
        <w:t>高品质住宅小区项目宜优先选用本地高品质建材，</w:t>
      </w:r>
      <w:r>
        <w:t>500km</w:t>
      </w:r>
      <w:r>
        <w:t>以内生产的建筑材料重量占建筑材料总重量的比例</w:t>
      </w:r>
      <w:r>
        <w:rPr>
          <w:rFonts w:hint="eastAsia"/>
        </w:rPr>
        <w:t>宜</w:t>
      </w:r>
      <w:r>
        <w:t>不小于</w:t>
      </w:r>
      <w:r>
        <w:t>60%</w:t>
      </w:r>
      <w:r>
        <w:t>。</w:t>
      </w:r>
    </w:p>
    <w:p w14:paraId="33C1CF50"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【品质项】</w:t>
      </w:r>
      <w:r>
        <w:rPr>
          <w:rFonts w:hint="eastAsia"/>
        </w:rPr>
        <w:t>高品质住宅小区项目应</w:t>
      </w:r>
      <w:r>
        <w:t>采用可再循环或可再利用材料</w:t>
      </w:r>
      <w:r>
        <w:rPr>
          <w:rFonts w:hint="eastAsia"/>
        </w:rPr>
        <w:t>，且</w:t>
      </w:r>
      <w:r>
        <w:t>比例</w:t>
      </w:r>
      <w:r>
        <w:rPr>
          <w:rFonts w:hint="eastAsia"/>
        </w:rPr>
        <w:t>不宜低于</w:t>
      </w:r>
      <w:r>
        <w:t>6%</w:t>
      </w:r>
      <w:r>
        <w:rPr>
          <w:rFonts w:hint="eastAsia"/>
        </w:rPr>
        <w:t>。</w:t>
      </w:r>
    </w:p>
    <w:p w14:paraId="2D3AF36D" w14:textId="77777777" w:rsidR="00622EE7" w:rsidRDefault="00E60909">
      <w:pPr>
        <w:pStyle w:val="af3"/>
        <w:numPr>
          <w:ilvl w:val="0"/>
          <w:numId w:val="4"/>
        </w:numPr>
        <w:spacing w:beforeLines="25" w:before="81"/>
        <w:ind w:left="0" w:firstLineChars="0" w:firstLine="0"/>
        <w:contextualSpacing/>
      </w:pPr>
      <w:r>
        <w:rPr>
          <w:rFonts w:eastAsia="楷体"/>
        </w:rPr>
        <w:t>【</w:t>
      </w:r>
      <w:r>
        <w:rPr>
          <w:rFonts w:eastAsia="楷体" w:hint="eastAsia"/>
        </w:rPr>
        <w:t>提升</w:t>
      </w:r>
      <w:r>
        <w:rPr>
          <w:rFonts w:eastAsia="楷体"/>
        </w:rPr>
        <w:t>项】</w:t>
      </w:r>
      <w:r>
        <w:t>宜选用利废建材，当采用利废建材时，可采用</w:t>
      </w:r>
      <w:r>
        <w:t>1</w:t>
      </w:r>
      <w:r>
        <w:t>种利废建材，其占同类建材的用量比例不低于</w:t>
      </w:r>
      <w:r>
        <w:t>50%</w:t>
      </w:r>
      <w:r>
        <w:t>，或选用</w:t>
      </w:r>
      <w:r>
        <w:rPr>
          <w:rFonts w:hint="eastAsia"/>
        </w:rPr>
        <w:t>2</w:t>
      </w:r>
      <w:r>
        <w:t>种及以上的利废建材，每</w:t>
      </w:r>
      <w:r>
        <w:t>1</w:t>
      </w:r>
      <w:r>
        <w:t>种占同类建材的用量比例均不应低于</w:t>
      </w:r>
      <w:r>
        <w:t>30%</w:t>
      </w:r>
      <w:r>
        <w:t>。</w:t>
      </w:r>
    </w:p>
    <w:p w14:paraId="49995B63"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【创新项】</w:t>
      </w:r>
      <w:r>
        <w:rPr>
          <w:rFonts w:hint="eastAsia"/>
        </w:rPr>
        <w:t>高品质住宅小区项目宜</w:t>
      </w:r>
      <w:r>
        <w:t>选用绿色建材</w:t>
      </w:r>
      <w:r>
        <w:rPr>
          <w:rFonts w:hint="eastAsia"/>
        </w:rPr>
        <w:t>，应用比例宜不低于</w:t>
      </w:r>
      <w:r>
        <w:rPr>
          <w:rFonts w:hint="eastAsia"/>
        </w:rPr>
        <w:t>1</w:t>
      </w:r>
      <w:r>
        <w:t>0%</w:t>
      </w:r>
      <w:r>
        <w:rPr>
          <w:rFonts w:hint="eastAsia"/>
        </w:rPr>
        <w:t>，</w:t>
      </w:r>
      <w:r>
        <w:rPr>
          <w:rFonts w:hint="eastAsia"/>
        </w:rPr>
        <w:lastRenderedPageBreak/>
        <w:t>有条件时宜达到</w:t>
      </w:r>
      <w:r>
        <w:rPr>
          <w:rFonts w:hint="eastAsia"/>
        </w:rPr>
        <w:t>2</w:t>
      </w:r>
      <w:r>
        <w:t>0</w:t>
      </w:r>
      <w:r>
        <w:t>%</w:t>
      </w:r>
      <w:r>
        <w:rPr>
          <w:rFonts w:hint="eastAsia"/>
        </w:rPr>
        <w:t>。</w:t>
      </w:r>
    </w:p>
    <w:p w14:paraId="1B53C70C" w14:textId="77777777" w:rsidR="00622EE7" w:rsidRDefault="00E60909">
      <w:pPr>
        <w:pStyle w:val="af3"/>
        <w:numPr>
          <w:ilvl w:val="0"/>
          <w:numId w:val="4"/>
        </w:numPr>
        <w:spacing w:beforeLines="25" w:before="81"/>
        <w:ind w:left="0" w:firstLineChars="0" w:firstLine="0"/>
        <w:contextualSpacing/>
        <w:rPr>
          <w:rFonts w:ascii="楷体" w:eastAsia="楷体" w:hAnsi="楷体"/>
        </w:rPr>
      </w:pPr>
      <w:r>
        <w:rPr>
          <w:rFonts w:ascii="楷体" w:eastAsia="楷体" w:hAnsi="楷体"/>
        </w:rPr>
        <w:t>【创新项】</w:t>
      </w:r>
      <w:r>
        <w:rPr>
          <w:rFonts w:hint="eastAsia"/>
        </w:rPr>
        <w:t>高品质住宅小区项目</w:t>
      </w:r>
      <w:r>
        <w:rPr>
          <w:rFonts w:ascii="宋体" w:hAnsi="宋体"/>
        </w:rPr>
        <w:t>宜采用装配式条板墙</w:t>
      </w:r>
      <w:r>
        <w:rPr>
          <w:rFonts w:ascii="宋体" w:hAnsi="宋体" w:hint="eastAsia"/>
        </w:rPr>
        <w:t>体</w:t>
      </w:r>
      <w:r>
        <w:rPr>
          <w:rFonts w:ascii="宋体" w:hAnsi="宋体"/>
        </w:rPr>
        <w:t>、装配式骨架复合板</w:t>
      </w:r>
      <w:r>
        <w:rPr>
          <w:rFonts w:ascii="宋体" w:hAnsi="宋体" w:hint="eastAsia"/>
        </w:rPr>
        <w:t>墙体</w:t>
      </w:r>
      <w:r>
        <w:rPr>
          <w:rFonts w:ascii="宋体" w:hAnsi="宋体"/>
        </w:rPr>
        <w:t>、保温结构一体化</w:t>
      </w:r>
      <w:r>
        <w:rPr>
          <w:rFonts w:ascii="宋体" w:hAnsi="宋体" w:hint="eastAsia"/>
        </w:rPr>
        <w:t>墙体</w:t>
      </w:r>
      <w:r>
        <w:rPr>
          <w:rFonts w:ascii="宋体" w:hAnsi="宋体"/>
        </w:rPr>
        <w:t>等新型墙体。</w:t>
      </w:r>
    </w:p>
    <w:p w14:paraId="7807E847" w14:textId="77777777" w:rsidR="00622EE7" w:rsidRDefault="00E60909">
      <w:pPr>
        <w:pStyle w:val="af3"/>
        <w:numPr>
          <w:ilvl w:val="0"/>
          <w:numId w:val="4"/>
        </w:numPr>
        <w:spacing w:beforeLines="25" w:before="81"/>
        <w:ind w:left="0" w:firstLineChars="0" w:firstLine="0"/>
        <w:contextualSpacing/>
        <w:rPr>
          <w:rFonts w:ascii="楷体" w:eastAsia="楷体" w:hAnsi="楷体"/>
        </w:rPr>
      </w:pPr>
      <w:r>
        <w:rPr>
          <w:rFonts w:ascii="楷体" w:eastAsia="楷体" w:hAnsi="楷体"/>
        </w:rPr>
        <w:t>【创新项】</w:t>
      </w:r>
      <w:r>
        <w:rPr>
          <w:rFonts w:ascii="宋体" w:hAnsi="宋体"/>
        </w:rPr>
        <w:t>当采用装配式混凝土建筑体系，且应用结构保温一体化系统</w:t>
      </w:r>
      <w:r>
        <w:t>时，应符合</w:t>
      </w:r>
      <w:proofErr w:type="gramStart"/>
      <w:r>
        <w:t>现行行业</w:t>
      </w:r>
      <w:proofErr w:type="gramEnd"/>
      <w:r>
        <w:t>标准《装配式混凝土建筑技术标准》</w:t>
      </w:r>
      <w:r>
        <w:t>GB/T 51231</w:t>
      </w:r>
      <w:r>
        <w:t>的规定</w:t>
      </w:r>
      <w:r>
        <w:t>;</w:t>
      </w:r>
      <w:proofErr w:type="gramStart"/>
      <w:r>
        <w:t>当结构</w:t>
      </w:r>
      <w:proofErr w:type="gramEnd"/>
      <w:r>
        <w:t>保温一体化采用钢丝网架混凝土复合板结构时，应符合</w:t>
      </w:r>
      <w:proofErr w:type="gramStart"/>
      <w:r>
        <w:t>现行行业</w:t>
      </w:r>
      <w:proofErr w:type="gramEnd"/>
      <w:r>
        <w:t>标准《钢丝网架混凝土复合板结构技术规程》</w:t>
      </w:r>
      <w:r>
        <w:t>JGJ/T 273</w:t>
      </w:r>
      <w:r>
        <w:t>的规定</w:t>
      </w:r>
      <w:r>
        <w:t>;</w:t>
      </w:r>
      <w:r>
        <w:t>当采用自保温混凝土复合砌块墙体时，应符合</w:t>
      </w:r>
      <w:proofErr w:type="gramStart"/>
      <w:r>
        <w:t>现行行业</w:t>
      </w:r>
      <w:proofErr w:type="gramEnd"/>
      <w:r>
        <w:t>标准《自保温混凝土复合砌块墙体应用技术规程》</w:t>
      </w:r>
      <w:r>
        <w:t xml:space="preserve">JGJ/T 323 </w:t>
      </w:r>
      <w:r>
        <w:t>的规定。</w:t>
      </w:r>
    </w:p>
    <w:p w14:paraId="6266F296" w14:textId="77777777" w:rsidR="00622EE7" w:rsidRDefault="00E60909">
      <w:pPr>
        <w:spacing w:beforeLines="50" w:before="163" w:afterLines="50" w:after="163" w:line="360" w:lineRule="auto"/>
        <w:jc w:val="center"/>
        <w:outlineLvl w:val="1"/>
        <w:rPr>
          <w:rFonts w:ascii="Times New Roman" w:eastAsia="黑体" w:hAnsi="Times New Roman"/>
        </w:rPr>
      </w:pPr>
      <w:bookmarkStart w:id="17" w:name="_Toc182841335"/>
      <w:r>
        <w:rPr>
          <w:rFonts w:ascii="Times New Roman" w:eastAsia="黑体" w:hAnsi="Times New Roman"/>
        </w:rPr>
        <w:t xml:space="preserve">4.4 </w:t>
      </w:r>
      <w:r>
        <w:rPr>
          <w:rFonts w:ascii="Times New Roman" w:eastAsia="黑体" w:hAnsi="Times New Roman" w:hint="eastAsia"/>
        </w:rPr>
        <w:t>建造策划</w:t>
      </w:r>
      <w:bookmarkEnd w:id="17"/>
    </w:p>
    <w:p w14:paraId="22755C01"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【基础项】</w:t>
      </w:r>
      <w:r>
        <w:rPr>
          <w:rFonts w:hint="eastAsia"/>
        </w:rPr>
        <w:t>应对高品质住宅小区的建造资源配置、施工部署、进度计划、方法与工艺、安全与风险管理等进行策划。</w:t>
      </w:r>
    </w:p>
    <w:p w14:paraId="0B576157"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【品质项】</w:t>
      </w:r>
      <w:r>
        <w:rPr>
          <w:rFonts w:hint="eastAsia"/>
        </w:rPr>
        <w:t>应采取措施提升工程质量，各分部分项工程的允许偏差控制应优于现行国家、自治区标准的规定。</w:t>
      </w:r>
    </w:p>
    <w:p w14:paraId="323E0B51"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【创新项】</w:t>
      </w:r>
      <w:r>
        <w:rPr>
          <w:rFonts w:hint="eastAsia"/>
        </w:rPr>
        <w:t>施工质量</w:t>
      </w:r>
      <w:proofErr w:type="gramStart"/>
      <w:r>
        <w:rPr>
          <w:rFonts w:hint="eastAsia"/>
        </w:rPr>
        <w:t>宜按照</w:t>
      </w:r>
      <w:proofErr w:type="gramEnd"/>
      <w:r>
        <w:rPr>
          <w:rFonts w:hint="eastAsia"/>
        </w:rPr>
        <w:t>“草原杯”等自治区工程质量奖的标准实施；有条件的项目</w:t>
      </w:r>
      <w:proofErr w:type="gramStart"/>
      <w:r>
        <w:rPr>
          <w:rFonts w:hint="eastAsia"/>
        </w:rPr>
        <w:t>宜按照</w:t>
      </w:r>
      <w:proofErr w:type="gramEnd"/>
      <w:r>
        <w:rPr>
          <w:rFonts w:hint="eastAsia"/>
        </w:rPr>
        <w:t>鲁班奖、詹天佑奖等国家级工程质量奖的标准实施。</w:t>
      </w:r>
    </w:p>
    <w:p w14:paraId="1144EB8F"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【创新项】</w:t>
      </w:r>
      <w:r>
        <w:rPr>
          <w:rFonts w:hint="eastAsia"/>
        </w:rPr>
        <w:t>宜</w:t>
      </w:r>
      <w:r>
        <w:t>采用绿色施工</w:t>
      </w:r>
      <w:r>
        <w:rPr>
          <w:rFonts w:hint="eastAsia"/>
        </w:rPr>
        <w:t>，对环境保护、资源节约、人力资源节约和保护、施工技术创新进行策划，明确绿色施工目标，组织设计及方案。</w:t>
      </w:r>
    </w:p>
    <w:p w14:paraId="1C0D8B38"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【创新项】</w:t>
      </w:r>
      <w:r>
        <w:rPr>
          <w:rFonts w:hint="eastAsia"/>
        </w:rPr>
        <w:t>宜采用</w:t>
      </w:r>
      <w:r>
        <w:t>智慧工地技术</w:t>
      </w:r>
      <w:r>
        <w:rPr>
          <w:rFonts w:hint="eastAsia"/>
        </w:rPr>
        <w:t>，</w:t>
      </w:r>
      <w:r>
        <w:t>采取信</w:t>
      </w:r>
      <w:r>
        <w:t>息化手段监测并管</w:t>
      </w:r>
      <w:proofErr w:type="gramStart"/>
      <w:r>
        <w:t>控建筑</w:t>
      </w:r>
      <w:proofErr w:type="gramEnd"/>
      <w:r>
        <w:t>施工现场扬尘、噪声、光、污水、有害气体、固体废物的产生</w:t>
      </w:r>
      <w:r>
        <w:rPr>
          <w:rFonts w:hint="eastAsia"/>
        </w:rPr>
        <w:t>。当采用智慧工地技术时，应编制包含工程概况、工程特点及重难点、实施范围和流程、预期成果的实施策划书。</w:t>
      </w:r>
    </w:p>
    <w:p w14:paraId="4EA294A5" w14:textId="77777777" w:rsidR="00622EE7" w:rsidRDefault="00E60909">
      <w:pPr>
        <w:spacing w:beforeLines="50" w:before="163" w:afterLines="50" w:after="163" w:line="360" w:lineRule="auto"/>
        <w:jc w:val="center"/>
        <w:outlineLvl w:val="1"/>
        <w:rPr>
          <w:rFonts w:ascii="Times New Roman" w:eastAsia="黑体" w:hAnsi="Times New Roman"/>
        </w:rPr>
      </w:pPr>
      <w:bookmarkStart w:id="18" w:name="_Toc182841336"/>
      <w:r>
        <w:rPr>
          <w:rFonts w:ascii="Times New Roman" w:eastAsia="黑体" w:hAnsi="Times New Roman"/>
        </w:rPr>
        <w:t>4.</w:t>
      </w:r>
      <w:r>
        <w:rPr>
          <w:rFonts w:ascii="Times New Roman" w:eastAsia="黑体" w:hAnsi="Times New Roman" w:hint="eastAsia"/>
        </w:rPr>
        <w:t>5</w:t>
      </w:r>
      <w:r>
        <w:rPr>
          <w:rFonts w:ascii="Times New Roman" w:eastAsia="黑体" w:hAnsi="Times New Roman"/>
        </w:rPr>
        <w:t xml:space="preserve"> </w:t>
      </w:r>
      <w:r>
        <w:rPr>
          <w:rFonts w:ascii="Times New Roman" w:eastAsia="黑体" w:hAnsi="Times New Roman" w:hint="eastAsia"/>
        </w:rPr>
        <w:t>其他策划项目</w:t>
      </w:r>
      <w:bookmarkEnd w:id="18"/>
    </w:p>
    <w:p w14:paraId="4E2D6BB6"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【品质项】</w:t>
      </w:r>
      <w:r>
        <w:rPr>
          <w:rFonts w:hint="eastAsia"/>
        </w:rPr>
        <w:t>应采用</w:t>
      </w:r>
      <w:r>
        <w:t>建筑信息模型（</w:t>
      </w:r>
      <w:r>
        <w:t>BIM</w:t>
      </w:r>
      <w:r>
        <w:t>）技术</w:t>
      </w:r>
      <w:r>
        <w:rPr>
          <w:rFonts w:hint="eastAsia"/>
        </w:rPr>
        <w:t>进行精细化设计和审核，减少返工。</w:t>
      </w:r>
    </w:p>
    <w:p w14:paraId="3F8A02EE"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【创新项】</w:t>
      </w:r>
      <w:r>
        <w:rPr>
          <w:rFonts w:hint="eastAsia"/>
        </w:rPr>
        <w:t>宜</w:t>
      </w:r>
      <w:r>
        <w:t>在建筑的规划设计、施工建造中应用建筑信息模型（</w:t>
      </w:r>
      <w:r>
        <w:t>BIM</w:t>
      </w:r>
      <w:r>
        <w:t>）技术</w:t>
      </w:r>
      <w:r>
        <w:rPr>
          <w:rFonts w:hint="eastAsia"/>
        </w:rPr>
        <w:t>，并实现数据的传递，有条件的项目宜将数据模型传递到运维阶段</w:t>
      </w:r>
      <w:r>
        <w:t>。</w:t>
      </w:r>
    </w:p>
    <w:p w14:paraId="2C9F27D3"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lastRenderedPageBreak/>
        <w:t>【品质项】</w:t>
      </w:r>
      <w:r>
        <w:rPr>
          <w:rFonts w:hint="eastAsia"/>
        </w:rPr>
        <w:t>非全装修交付的项目在交付时应标明承重结构的位置。</w:t>
      </w:r>
    </w:p>
    <w:p w14:paraId="70C78871"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【品质项】</w:t>
      </w:r>
      <w:r>
        <w:rPr>
          <w:rFonts w:hint="eastAsia"/>
        </w:rPr>
        <w:t>高品质住宅小区应提前实施策划、并在设计和建造过程中有效收集资料，为住户提供包含承重墙和其他结构构件的位置、水电隐蔽工程位置的图纸。</w:t>
      </w:r>
    </w:p>
    <w:p w14:paraId="31CA3922"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【提升项】</w:t>
      </w:r>
      <w:r>
        <w:rPr>
          <w:rFonts w:hint="eastAsia"/>
        </w:rPr>
        <w:t>宜向住户提供住宅使用说明书，住宅说明书除承重墙和其他结构构件的位置、水电隐蔽工程位置的图纸外，还宜包含提供空间布局的建议书、改造</w:t>
      </w:r>
      <w:r>
        <w:t>建议</w:t>
      </w:r>
      <w:r>
        <w:rPr>
          <w:rFonts w:hint="eastAsia"/>
        </w:rPr>
        <w:t>。</w:t>
      </w:r>
    </w:p>
    <w:p w14:paraId="35FE9E5A" w14:textId="77777777" w:rsidR="00622EE7" w:rsidRDefault="00E60909">
      <w:pPr>
        <w:pStyle w:val="af3"/>
        <w:numPr>
          <w:ilvl w:val="0"/>
          <w:numId w:val="6"/>
        </w:numPr>
        <w:spacing w:beforeLines="25" w:before="81"/>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住宅说明书</w:t>
      </w:r>
      <w:proofErr w:type="gramStart"/>
      <w:r>
        <w:rPr>
          <w:rFonts w:ascii="宋体" w:hAnsi="宋体" w:hint="eastAsia"/>
        </w:rPr>
        <w:t>宜配套</w:t>
      </w:r>
      <w:proofErr w:type="gramEnd"/>
      <w:r>
        <w:rPr>
          <w:rFonts w:ascii="宋体" w:hAnsi="宋体" w:hint="eastAsia"/>
        </w:rPr>
        <w:t>提供电子版本，并包含隐蔽工程记录。</w:t>
      </w:r>
      <w:r>
        <w:rPr>
          <w:rFonts w:ascii="宋体" w:hAnsi="宋体" w:hint="eastAsia"/>
        </w:rPr>
        <w:t xml:space="preserve"> </w:t>
      </w:r>
    </w:p>
    <w:p w14:paraId="040DA3BD"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【品质项】</w:t>
      </w:r>
      <w:r>
        <w:rPr>
          <w:rFonts w:hint="eastAsia"/>
        </w:rPr>
        <w:t>高品质住宅小区宜延长外墙保温、防水、供水供热的质量保修年限，其中防水宜延长至不低于</w:t>
      </w:r>
      <w:r>
        <w:rPr>
          <w:rFonts w:hint="eastAsia"/>
        </w:rPr>
        <w:t>1</w:t>
      </w:r>
      <w:r>
        <w:t>5</w:t>
      </w:r>
      <w:r>
        <w:rPr>
          <w:rFonts w:hint="eastAsia"/>
        </w:rPr>
        <w:t>年、供水和供热</w:t>
      </w:r>
      <w:r>
        <w:rPr>
          <w:rFonts w:hint="eastAsia"/>
        </w:rPr>
        <w:t>宜延长至不低于</w:t>
      </w:r>
      <w:r>
        <w:rPr>
          <w:rFonts w:hint="eastAsia"/>
        </w:rPr>
        <w:t>5</w:t>
      </w:r>
      <w:r>
        <w:rPr>
          <w:rFonts w:hint="eastAsia"/>
        </w:rPr>
        <w:t>年、外墙保温宜延长至不低于</w:t>
      </w:r>
      <w:r>
        <w:rPr>
          <w:rFonts w:hint="eastAsia"/>
        </w:rPr>
        <w:t>1</w:t>
      </w:r>
      <w:r>
        <w:t>0</w:t>
      </w:r>
      <w:r>
        <w:rPr>
          <w:rFonts w:hint="eastAsia"/>
        </w:rPr>
        <w:t>年。</w:t>
      </w:r>
    </w:p>
    <w:p w14:paraId="1A4F3040" w14:textId="77777777" w:rsidR="00622EE7" w:rsidRDefault="00E60909">
      <w:pPr>
        <w:pStyle w:val="af3"/>
        <w:numPr>
          <w:ilvl w:val="0"/>
          <w:numId w:val="6"/>
        </w:numPr>
        <w:spacing w:beforeLines="25" w:before="81"/>
        <w:ind w:left="0" w:firstLineChars="0" w:firstLine="0"/>
        <w:contextualSpacing/>
        <w:rPr>
          <w:rFonts w:ascii="宋体" w:hAnsi="宋体"/>
        </w:rPr>
      </w:pPr>
      <w:r>
        <w:rPr>
          <w:rFonts w:ascii="楷体" w:eastAsia="楷体" w:hAnsi="楷体" w:hint="eastAsia"/>
        </w:rPr>
        <w:t>【创新项】</w:t>
      </w:r>
      <w:r>
        <w:rPr>
          <w:rFonts w:ascii="宋体" w:hAnsi="宋体" w:hint="eastAsia"/>
        </w:rPr>
        <w:t>有条件的项目宜</w:t>
      </w:r>
      <w:r>
        <w:rPr>
          <w:rFonts w:ascii="宋体" w:hAnsi="宋体"/>
        </w:rPr>
        <w:t>采用建设工程质量潜在缺陷保险产品</w:t>
      </w:r>
      <w:r>
        <w:rPr>
          <w:rFonts w:ascii="宋体" w:hAnsi="宋体" w:hint="eastAsia"/>
        </w:rPr>
        <w:t>。</w:t>
      </w:r>
    </w:p>
    <w:p w14:paraId="6AFACFA1" w14:textId="77777777" w:rsidR="00622EE7" w:rsidRDefault="00E60909">
      <w:pPr>
        <w:pStyle w:val="1"/>
        <w:spacing w:after="0"/>
        <w:rPr>
          <w:rFonts w:ascii="黑体" w:eastAsia="黑体" w:hAnsi="黑体"/>
        </w:rPr>
      </w:pPr>
      <w:bookmarkStart w:id="19" w:name="_Toc529371304"/>
      <w:bookmarkStart w:id="20" w:name="_Toc182841337"/>
      <w:r>
        <w:rPr>
          <w:rFonts w:ascii="黑体" w:eastAsia="黑体" w:hAnsi="黑体"/>
        </w:rPr>
        <w:lastRenderedPageBreak/>
        <w:t xml:space="preserve">5 </w:t>
      </w:r>
      <w:r>
        <w:rPr>
          <w:rFonts w:ascii="黑体" w:eastAsia="黑体" w:hAnsi="黑体" w:hint="eastAsia"/>
        </w:rPr>
        <w:t xml:space="preserve"> </w:t>
      </w:r>
      <w:bookmarkEnd w:id="19"/>
      <w:r>
        <w:rPr>
          <w:rFonts w:ascii="黑体" w:eastAsia="黑体" w:hAnsi="黑体" w:hint="eastAsia"/>
        </w:rPr>
        <w:t>小区规划、景观与配套</w:t>
      </w:r>
      <w:bookmarkEnd w:id="20"/>
    </w:p>
    <w:p w14:paraId="32FC3F29" w14:textId="77777777" w:rsidR="00622EE7" w:rsidRDefault="00E60909">
      <w:pPr>
        <w:spacing w:beforeLines="50" w:before="163" w:afterLines="50" w:after="163" w:line="360" w:lineRule="auto"/>
        <w:jc w:val="center"/>
        <w:outlineLvl w:val="1"/>
        <w:rPr>
          <w:rFonts w:ascii="Times New Roman" w:eastAsia="黑体" w:hAnsi="Times New Roman"/>
        </w:rPr>
      </w:pPr>
      <w:bookmarkStart w:id="21" w:name="_Toc182841338"/>
      <w:r>
        <w:rPr>
          <w:rFonts w:ascii="Times New Roman" w:eastAsia="黑体" w:hAnsi="Times New Roman"/>
        </w:rPr>
        <w:t xml:space="preserve">5.1 </w:t>
      </w:r>
      <w:r>
        <w:rPr>
          <w:rFonts w:ascii="Times New Roman" w:eastAsia="黑体" w:hAnsi="Times New Roman" w:hint="eastAsia"/>
        </w:rPr>
        <w:t>总平面布局</w:t>
      </w:r>
      <w:bookmarkEnd w:id="21"/>
    </w:p>
    <w:p w14:paraId="120FE27C" w14:textId="77777777" w:rsidR="00622EE7" w:rsidRDefault="00E60909">
      <w:pPr>
        <w:pStyle w:val="af7"/>
        <w:numPr>
          <w:ilvl w:val="0"/>
          <w:numId w:val="7"/>
        </w:numPr>
        <w:ind w:left="0" w:firstLine="0"/>
        <w:rPr>
          <w:b w:val="0"/>
        </w:rPr>
      </w:pPr>
      <w:r>
        <w:rPr>
          <w:rFonts w:ascii="楷体" w:eastAsia="楷体" w:hAnsi="楷体" w:hint="eastAsia"/>
          <w:b w:val="0"/>
        </w:rPr>
        <w:t>【基础项】</w:t>
      </w:r>
      <w:r>
        <w:rPr>
          <w:b w:val="0"/>
        </w:rPr>
        <w:t>高品质住宅小区的场地应避开滑坡、泥石流等地质危险地段，易发生洪涝地区应有可靠的防洪涝基础设施；场地应无危险化学品、易燃易爆危险源的威胁，应无电磁辐射、含氡土壤的危害。</w:t>
      </w:r>
    </w:p>
    <w:p w14:paraId="067079AE"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【基础项】</w:t>
      </w:r>
      <w:r>
        <w:rPr>
          <w:rFonts w:hint="eastAsia"/>
          <w:b w:val="0"/>
        </w:rPr>
        <w:t>总平面布局应对场地及周边的地形和景观资源进行勘察，应因地制宜、合理利用原有地形地貌，建设过程中确需改造场地内的地形、地貌、植被等时，应减少土石方量。</w:t>
      </w:r>
    </w:p>
    <w:p w14:paraId="23F8B864"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【品质项】</w:t>
      </w:r>
      <w:r>
        <w:rPr>
          <w:rFonts w:ascii="宋体" w:hAnsi="宋体" w:hint="eastAsia"/>
          <w:b w:val="0"/>
        </w:rPr>
        <w:t>总平面布局</w:t>
      </w:r>
      <w:r>
        <w:rPr>
          <w:rFonts w:hint="eastAsia"/>
          <w:b w:val="0"/>
        </w:rPr>
        <w:t>应</w:t>
      </w:r>
      <w:r>
        <w:rPr>
          <w:b w:val="0"/>
        </w:rPr>
        <w:t>有辨识度和领域感，</w:t>
      </w:r>
      <w:r>
        <w:rPr>
          <w:rFonts w:hint="eastAsia"/>
          <w:b w:val="0"/>
        </w:rPr>
        <w:t>有高差的地区应合理利用场地高差设置景观，如合理设计台地、台阶、坡道等，利用地形创造丰富的景观地形。有条件的小区应合理设置风雨连廊，将广场、将相互独立的建筑物或将建筑物与小区内广场、游园等公共空间相互连接。</w:t>
      </w:r>
    </w:p>
    <w:p w14:paraId="17C6A64D"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【品质项】</w:t>
      </w:r>
      <w:r>
        <w:rPr>
          <w:rFonts w:hint="eastAsia"/>
          <w:b w:val="0"/>
        </w:rPr>
        <w:t>紧邻城市道路的住宅小区应</w:t>
      </w:r>
      <w:proofErr w:type="gramStart"/>
      <w:r>
        <w:rPr>
          <w:rFonts w:hint="eastAsia"/>
          <w:b w:val="0"/>
        </w:rPr>
        <w:t>通过绿植防护</w:t>
      </w:r>
      <w:proofErr w:type="gramEnd"/>
      <w:r>
        <w:rPr>
          <w:rFonts w:hint="eastAsia"/>
          <w:b w:val="0"/>
        </w:rPr>
        <w:t>等综合措施来降低噪声对小区内部的干扰。</w:t>
      </w:r>
    </w:p>
    <w:p w14:paraId="3AE6A6DF" w14:textId="77777777" w:rsidR="00622EE7" w:rsidRDefault="00E60909">
      <w:pPr>
        <w:pStyle w:val="af7"/>
        <w:numPr>
          <w:ilvl w:val="0"/>
          <w:numId w:val="7"/>
        </w:numPr>
        <w:ind w:left="0" w:firstLine="0"/>
        <w:rPr>
          <w:b w:val="0"/>
        </w:rPr>
      </w:pPr>
      <w:r>
        <w:rPr>
          <w:rFonts w:ascii="楷体" w:eastAsia="楷体" w:hAnsi="楷体" w:hint="eastAsia"/>
          <w:b w:val="0"/>
        </w:rPr>
        <w:t>【基础项】</w:t>
      </w:r>
      <w:r>
        <w:rPr>
          <w:rFonts w:hint="eastAsia"/>
          <w:b w:val="0"/>
        </w:rPr>
        <w:t>建筑规划布局应满足日</w:t>
      </w:r>
      <w:r>
        <w:rPr>
          <w:rFonts w:hint="eastAsia"/>
          <w:b w:val="0"/>
        </w:rPr>
        <w:t>照标准，同时不应降低周边建筑的日照标准。</w:t>
      </w:r>
    </w:p>
    <w:p w14:paraId="3D9C9D1E"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【基础项】</w:t>
      </w:r>
      <w:r>
        <w:rPr>
          <w:rFonts w:hint="eastAsia"/>
          <w:b w:val="0"/>
        </w:rPr>
        <w:t>住宅小区布局尺度应合理舒适，建筑体量高度宜错落有致，密度和楼间距符合鄂尔多斯市城乡规划的要求，实现住宅区内阳光充足，通风良好，促进邻里交往和安全。</w:t>
      </w:r>
    </w:p>
    <w:p w14:paraId="3C445526" w14:textId="77777777" w:rsidR="00622EE7" w:rsidRDefault="00E60909">
      <w:pPr>
        <w:pStyle w:val="af7"/>
        <w:numPr>
          <w:ilvl w:val="0"/>
          <w:numId w:val="7"/>
        </w:numPr>
        <w:spacing w:after="0" w:afterAutospacing="0"/>
        <w:ind w:left="0" w:firstLine="0"/>
      </w:pPr>
      <w:r>
        <w:rPr>
          <w:rFonts w:ascii="楷体" w:eastAsia="楷体" w:hAnsi="楷体" w:hint="eastAsia"/>
          <w:b w:val="0"/>
        </w:rPr>
        <w:t>【品质项】</w:t>
      </w:r>
      <w:r>
        <w:rPr>
          <w:b w:val="0"/>
        </w:rPr>
        <w:t>多层住宅单栋住宅建筑不</w:t>
      </w:r>
      <w:r>
        <w:rPr>
          <w:rFonts w:hint="eastAsia"/>
          <w:b w:val="0"/>
        </w:rPr>
        <w:t>应</w:t>
      </w:r>
      <w:r>
        <w:rPr>
          <w:b w:val="0"/>
        </w:rPr>
        <w:t>超过</w:t>
      </w:r>
      <w:r>
        <w:rPr>
          <w:rFonts w:hint="eastAsia"/>
          <w:b w:val="0"/>
        </w:rPr>
        <w:t>3</w:t>
      </w:r>
      <w:r>
        <w:rPr>
          <w:b w:val="0"/>
        </w:rPr>
        <w:t>个单元；高层住宅单栋建筑不</w:t>
      </w:r>
      <w:r>
        <w:rPr>
          <w:rFonts w:hint="eastAsia"/>
          <w:b w:val="0"/>
        </w:rPr>
        <w:t>应</w:t>
      </w:r>
      <w:r>
        <w:rPr>
          <w:b w:val="0"/>
        </w:rPr>
        <w:t>超过</w:t>
      </w:r>
      <w:r>
        <w:rPr>
          <w:rFonts w:hint="eastAsia"/>
          <w:b w:val="0"/>
        </w:rPr>
        <w:t>2</w:t>
      </w:r>
      <w:r>
        <w:rPr>
          <w:b w:val="0"/>
        </w:rPr>
        <w:t>个单元。</w:t>
      </w:r>
    </w:p>
    <w:p w14:paraId="24837710" w14:textId="77777777" w:rsidR="00622EE7" w:rsidRDefault="00E60909">
      <w:pPr>
        <w:pStyle w:val="af7"/>
        <w:numPr>
          <w:ilvl w:val="0"/>
          <w:numId w:val="7"/>
        </w:numPr>
        <w:spacing w:after="0" w:afterAutospacing="0"/>
        <w:rPr>
          <w:rFonts w:ascii="楷体" w:eastAsia="楷体" w:hAnsi="楷体"/>
          <w:b w:val="0"/>
        </w:rPr>
      </w:pPr>
      <w:r>
        <w:rPr>
          <w:rFonts w:ascii="楷体" w:eastAsia="楷体" w:hAnsi="楷体" w:hint="eastAsia"/>
          <w:b w:val="0"/>
        </w:rPr>
        <w:t>【品质项】</w:t>
      </w:r>
      <w:r>
        <w:rPr>
          <w:rFonts w:hint="eastAsia"/>
          <w:b w:val="0"/>
        </w:rPr>
        <w:t>二星级</w:t>
      </w:r>
      <w:r>
        <w:rPr>
          <w:b w:val="0"/>
        </w:rPr>
        <w:t>高品质住宅小区</w:t>
      </w:r>
      <w:r>
        <w:rPr>
          <w:rFonts w:hint="eastAsia"/>
          <w:b w:val="0"/>
        </w:rPr>
        <w:t>应按照</w:t>
      </w:r>
      <w:r>
        <w:rPr>
          <w:rFonts w:hint="eastAsia"/>
          <w:b w:val="0"/>
        </w:rPr>
        <w:t>1</w:t>
      </w:r>
      <w:r>
        <w:rPr>
          <w:b w:val="0"/>
        </w:rPr>
        <w:t>.8</w:t>
      </w:r>
      <w:r>
        <w:rPr>
          <w:rFonts w:hint="eastAsia"/>
          <w:b w:val="0"/>
        </w:rPr>
        <w:t>车位</w:t>
      </w:r>
      <w:r>
        <w:rPr>
          <w:rFonts w:hint="eastAsia"/>
          <w:b w:val="0"/>
        </w:rPr>
        <w:t>/</w:t>
      </w:r>
      <w:r>
        <w:rPr>
          <w:rFonts w:hint="eastAsia"/>
          <w:b w:val="0"/>
        </w:rPr>
        <w:t>户配建机动车停车位。</w:t>
      </w:r>
    </w:p>
    <w:p w14:paraId="627B55A3"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【提升项】</w:t>
      </w:r>
      <w:r>
        <w:rPr>
          <w:rFonts w:hint="eastAsia"/>
          <w:b w:val="0"/>
        </w:rPr>
        <w:t>三星级高品质小区</w:t>
      </w:r>
      <w:proofErr w:type="gramStart"/>
      <w:r>
        <w:rPr>
          <w:rFonts w:hint="eastAsia"/>
          <w:b w:val="0"/>
        </w:rPr>
        <w:t>宜按照</w:t>
      </w:r>
      <w:proofErr w:type="gramEnd"/>
      <w:r>
        <w:rPr>
          <w:b w:val="0"/>
        </w:rPr>
        <w:t>不低于</w:t>
      </w:r>
      <w:r>
        <w:rPr>
          <w:b w:val="0"/>
        </w:rPr>
        <w:t>2.0</w:t>
      </w:r>
      <w:r>
        <w:rPr>
          <w:b w:val="0"/>
        </w:rPr>
        <w:t>车位</w:t>
      </w:r>
      <w:r>
        <w:rPr>
          <w:b w:val="0"/>
        </w:rPr>
        <w:t>/</w:t>
      </w:r>
      <w:r>
        <w:rPr>
          <w:b w:val="0"/>
        </w:rPr>
        <w:t>户配建机动车停车位。</w:t>
      </w:r>
    </w:p>
    <w:p w14:paraId="30912A3A" w14:textId="77777777" w:rsidR="00622EE7" w:rsidRDefault="00E60909">
      <w:pPr>
        <w:spacing w:beforeLines="50" w:before="163" w:afterLines="50" w:after="163" w:line="360" w:lineRule="auto"/>
        <w:jc w:val="center"/>
        <w:outlineLvl w:val="1"/>
        <w:rPr>
          <w:rFonts w:ascii="Times New Roman" w:eastAsia="黑体" w:hAnsi="Times New Roman"/>
        </w:rPr>
      </w:pPr>
      <w:bookmarkStart w:id="22" w:name="_Toc182841339"/>
      <w:r>
        <w:rPr>
          <w:rFonts w:ascii="Times New Roman" w:eastAsia="黑体" w:hAnsi="Times New Roman"/>
        </w:rPr>
        <w:t xml:space="preserve">5.2 </w:t>
      </w:r>
      <w:r>
        <w:rPr>
          <w:rFonts w:ascii="Times New Roman" w:eastAsia="黑体" w:hAnsi="Times New Roman" w:hint="eastAsia"/>
        </w:rPr>
        <w:t>道路与停车</w:t>
      </w:r>
      <w:bookmarkEnd w:id="22"/>
    </w:p>
    <w:p w14:paraId="4C0DCF02"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【基础项】</w:t>
      </w:r>
      <w:r>
        <w:rPr>
          <w:rFonts w:hint="eastAsia"/>
          <w:b w:val="0"/>
        </w:rPr>
        <w:t>高品质住宅小区</w:t>
      </w:r>
      <w:r>
        <w:rPr>
          <w:b w:val="0"/>
        </w:rPr>
        <w:t>内部道路</w:t>
      </w:r>
      <w:r>
        <w:rPr>
          <w:rFonts w:hint="eastAsia"/>
          <w:b w:val="0"/>
        </w:rPr>
        <w:t>应实施人车分流，除消防救援、医疗救护、搬家等特殊情况，机动车应直接驶入地库，为居民营造安全、全龄友好的环境。</w:t>
      </w:r>
    </w:p>
    <w:p w14:paraId="48CB54B2"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lastRenderedPageBreak/>
        <w:t>【基础项】</w:t>
      </w:r>
      <w:r>
        <w:rPr>
          <w:b w:val="0"/>
        </w:rPr>
        <w:t>高品质住宅小区应设有联贯建筑、室外场地、公共绿地、各类配套服务设施的无障碍步行系统</w:t>
      </w:r>
      <w:r>
        <w:rPr>
          <w:rFonts w:hint="eastAsia"/>
          <w:b w:val="0"/>
        </w:rPr>
        <w:t>。场地内可能发生危险的区域、视线不良的台阶和坡道等处，应设置醒目、易识别、位置合理的安全防护警示标识。</w:t>
      </w:r>
    </w:p>
    <w:p w14:paraId="3B7D09C1" w14:textId="77777777" w:rsidR="00622EE7" w:rsidRDefault="00E60909">
      <w:pPr>
        <w:pStyle w:val="af7"/>
        <w:numPr>
          <w:ilvl w:val="0"/>
          <w:numId w:val="8"/>
        </w:numPr>
        <w:spacing w:after="0" w:afterAutospacing="0"/>
        <w:ind w:left="0" w:firstLine="0"/>
        <w:rPr>
          <w:rFonts w:ascii="楷体" w:eastAsia="楷体" w:hAnsi="楷体"/>
          <w:b w:val="0"/>
        </w:rPr>
      </w:pPr>
      <w:r>
        <w:rPr>
          <w:rFonts w:ascii="楷体" w:eastAsia="楷体" w:hAnsi="楷体" w:hint="eastAsia"/>
          <w:b w:val="0"/>
        </w:rPr>
        <w:t>【品质项】</w:t>
      </w:r>
      <w:r>
        <w:rPr>
          <w:b w:val="0"/>
        </w:rPr>
        <w:t>小区内的儿童活动场、健身运动场出入口</w:t>
      </w:r>
      <w:r>
        <w:rPr>
          <w:rFonts w:hint="eastAsia"/>
          <w:b w:val="0"/>
        </w:rPr>
        <w:t>应</w:t>
      </w:r>
      <w:r>
        <w:rPr>
          <w:b w:val="0"/>
        </w:rPr>
        <w:t>设提示盲道</w:t>
      </w:r>
      <w:r>
        <w:rPr>
          <w:rFonts w:hint="eastAsia"/>
          <w:b w:val="0"/>
        </w:rPr>
        <w:t>。并应设置安全操作提示牌。</w:t>
      </w:r>
    </w:p>
    <w:p w14:paraId="46EC09D4"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【品质项】</w:t>
      </w:r>
      <w:r>
        <w:rPr>
          <w:rFonts w:hint="eastAsia"/>
          <w:b w:val="0"/>
        </w:rPr>
        <w:t>高品质住宅</w:t>
      </w:r>
      <w:r>
        <w:rPr>
          <w:b w:val="0"/>
        </w:rPr>
        <w:t>小区主入口</w:t>
      </w:r>
      <w:r>
        <w:rPr>
          <w:rFonts w:hint="eastAsia"/>
          <w:b w:val="0"/>
        </w:rPr>
        <w:t>应</w:t>
      </w:r>
      <w:r>
        <w:rPr>
          <w:b w:val="0"/>
        </w:rPr>
        <w:t>具有识别性，</w:t>
      </w:r>
      <w:r>
        <w:rPr>
          <w:rFonts w:hint="eastAsia"/>
          <w:b w:val="0"/>
        </w:rPr>
        <w:t>出入口附近地面应设置访客车位，并设置明显的标识。人行主入口位置根据项目情况合理设置等车、活动广场等空间，并合理设置景观序列。</w:t>
      </w:r>
    </w:p>
    <w:p w14:paraId="6841E640" w14:textId="77777777" w:rsidR="00622EE7" w:rsidRDefault="00E60909">
      <w:pPr>
        <w:pStyle w:val="af7"/>
        <w:numPr>
          <w:ilvl w:val="0"/>
          <w:numId w:val="8"/>
        </w:numPr>
        <w:spacing w:after="0" w:afterAutospacing="0"/>
        <w:ind w:left="0" w:firstLine="0"/>
        <w:rPr>
          <w:rFonts w:ascii="楷体" w:eastAsia="楷体" w:hAnsi="楷体"/>
          <w:b w:val="0"/>
        </w:rPr>
      </w:pPr>
      <w:r>
        <w:rPr>
          <w:rFonts w:ascii="楷体" w:eastAsia="楷体" w:hAnsi="楷体" w:hint="eastAsia"/>
          <w:b w:val="0"/>
        </w:rPr>
        <w:t>【基础项】</w:t>
      </w:r>
      <w:r>
        <w:rPr>
          <w:rFonts w:ascii="宋体" w:hAnsi="宋体"/>
          <w:b w:val="0"/>
        </w:rPr>
        <w:t>高品质小区出入口应设邮件、快递、外卖存放区和寄递服务设施，且不应影响小区正常通行。</w:t>
      </w:r>
    </w:p>
    <w:p w14:paraId="432B1618" w14:textId="77777777" w:rsidR="00622EE7" w:rsidRDefault="00E60909">
      <w:pPr>
        <w:pStyle w:val="af7"/>
        <w:numPr>
          <w:ilvl w:val="0"/>
          <w:numId w:val="8"/>
        </w:numPr>
        <w:spacing w:after="0" w:afterAutospacing="0"/>
        <w:ind w:left="0" w:firstLine="0"/>
        <w:rPr>
          <w:bCs/>
        </w:rPr>
      </w:pPr>
      <w:r>
        <w:rPr>
          <w:rFonts w:ascii="楷体" w:eastAsia="楷体" w:hAnsi="楷体" w:hint="eastAsia"/>
          <w:b w:val="0"/>
        </w:rPr>
        <w:t>【提升项】</w:t>
      </w:r>
      <w:r>
        <w:rPr>
          <w:rFonts w:hint="eastAsia"/>
          <w:b w:val="0"/>
          <w:bCs/>
        </w:rPr>
        <w:t>有条件的项目宜结合小区主入口，合理设置小区会客厅，满足会客、等候等需求。</w:t>
      </w:r>
    </w:p>
    <w:p w14:paraId="66FB5F52"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【品质项】</w:t>
      </w:r>
      <w:r>
        <w:rPr>
          <w:rFonts w:hint="eastAsia"/>
          <w:b w:val="0"/>
        </w:rPr>
        <w:t>地下</w:t>
      </w:r>
      <w:r>
        <w:rPr>
          <w:b w:val="0"/>
        </w:rPr>
        <w:t>车库</w:t>
      </w:r>
      <w:r>
        <w:rPr>
          <w:rFonts w:hint="eastAsia"/>
          <w:b w:val="0"/>
        </w:rPr>
        <w:t>的</w:t>
      </w:r>
      <w:r>
        <w:rPr>
          <w:b w:val="0"/>
        </w:rPr>
        <w:t>出入口</w:t>
      </w:r>
      <w:r>
        <w:rPr>
          <w:rFonts w:hint="eastAsia"/>
          <w:b w:val="0"/>
        </w:rPr>
        <w:t>应</w:t>
      </w:r>
      <w:r>
        <w:rPr>
          <w:b w:val="0"/>
        </w:rPr>
        <w:t>与地面景观自然融合</w:t>
      </w:r>
      <w:r>
        <w:rPr>
          <w:rFonts w:hint="eastAsia"/>
          <w:b w:val="0"/>
        </w:rPr>
        <w:t>。地上非机动车停车空间宜根据位置合理设置遮雨避雪、防晒的棚架，棚架造型应具有设计感，与景观协调统一，并不</w:t>
      </w:r>
      <w:proofErr w:type="gramStart"/>
      <w:r>
        <w:rPr>
          <w:rFonts w:hint="eastAsia"/>
          <w:b w:val="0"/>
        </w:rPr>
        <w:t>应影响</w:t>
      </w:r>
      <w:proofErr w:type="gramEnd"/>
      <w:r>
        <w:rPr>
          <w:rFonts w:hint="eastAsia"/>
          <w:b w:val="0"/>
        </w:rPr>
        <w:t>单元入口的美观。</w:t>
      </w:r>
    </w:p>
    <w:p w14:paraId="5484CD5D"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【品质项】</w:t>
      </w:r>
      <w:r>
        <w:rPr>
          <w:rFonts w:hint="eastAsia"/>
          <w:b w:val="0"/>
        </w:rPr>
        <w:t>高品质住宅小区入口应</w:t>
      </w:r>
      <w:proofErr w:type="gramStart"/>
      <w:r>
        <w:rPr>
          <w:rFonts w:hint="eastAsia"/>
          <w:b w:val="0"/>
        </w:rPr>
        <w:t>设有</w:t>
      </w:r>
      <w:r>
        <w:rPr>
          <w:rFonts w:hint="eastAsia"/>
          <w:b w:val="0"/>
        </w:rPr>
        <w:t>住</w:t>
      </w:r>
      <w:proofErr w:type="gramEnd"/>
      <w:r>
        <w:rPr>
          <w:rFonts w:hint="eastAsia"/>
          <w:b w:val="0"/>
        </w:rPr>
        <w:t>区平面示意图，主要路口应设有路标或道路指引牌，小区内对住宅建筑</w:t>
      </w:r>
      <w:r>
        <w:rPr>
          <w:b w:val="0"/>
        </w:rPr>
        <w:t>和公共配套设施、</w:t>
      </w:r>
      <w:r>
        <w:rPr>
          <w:rFonts w:hint="eastAsia"/>
          <w:b w:val="0"/>
        </w:rPr>
        <w:t>活动</w:t>
      </w:r>
      <w:r>
        <w:rPr>
          <w:b w:val="0"/>
        </w:rPr>
        <w:t>场地</w:t>
      </w:r>
      <w:r>
        <w:rPr>
          <w:rFonts w:hint="eastAsia"/>
          <w:b w:val="0"/>
        </w:rPr>
        <w:t>、车库应</w:t>
      </w:r>
      <w:r>
        <w:rPr>
          <w:b w:val="0"/>
        </w:rPr>
        <w:t>有明显标志</w:t>
      </w:r>
      <w:r>
        <w:rPr>
          <w:rFonts w:hint="eastAsia"/>
          <w:b w:val="0"/>
        </w:rPr>
        <w:t>和方向指示。标识系统应辨识度高、体现文化特色，并考虑老年人的识别需要。</w:t>
      </w:r>
    </w:p>
    <w:p w14:paraId="05C75D4D" w14:textId="77777777" w:rsidR="00622EE7" w:rsidRDefault="00E60909">
      <w:pPr>
        <w:spacing w:beforeLines="50" w:before="163" w:afterLines="50" w:after="163" w:line="360" w:lineRule="auto"/>
        <w:jc w:val="center"/>
        <w:outlineLvl w:val="1"/>
        <w:rPr>
          <w:rFonts w:ascii="Times New Roman" w:eastAsia="黑体" w:hAnsi="Times New Roman"/>
        </w:rPr>
      </w:pPr>
      <w:bookmarkStart w:id="23" w:name="_Toc182841340"/>
      <w:r>
        <w:rPr>
          <w:rFonts w:ascii="Times New Roman" w:eastAsia="黑体" w:hAnsi="Times New Roman"/>
        </w:rPr>
        <w:t xml:space="preserve">5.3 </w:t>
      </w:r>
      <w:r>
        <w:rPr>
          <w:rFonts w:ascii="Times New Roman" w:eastAsia="黑体" w:hAnsi="Times New Roman" w:hint="eastAsia"/>
        </w:rPr>
        <w:t>景观和活动场地</w:t>
      </w:r>
      <w:bookmarkEnd w:id="23"/>
    </w:p>
    <w:p w14:paraId="4C5317C2" w14:textId="77777777" w:rsidR="00622EE7" w:rsidRDefault="00E60909">
      <w:pPr>
        <w:spacing w:beforeLines="50" w:before="163" w:afterLines="50" w:after="163" w:line="360" w:lineRule="auto"/>
        <w:jc w:val="center"/>
        <w:outlineLvl w:val="2"/>
        <w:rPr>
          <w:rFonts w:ascii="宋体" w:hAnsi="宋体"/>
        </w:rPr>
      </w:pPr>
      <w:bookmarkStart w:id="24" w:name="_Toc182841341"/>
      <w:r>
        <w:rPr>
          <w:rFonts w:ascii="宋体" w:hAnsi="宋体" w:hint="eastAsia"/>
        </w:rPr>
        <w:t>Ⅰ</w:t>
      </w:r>
      <w:r>
        <w:rPr>
          <w:rFonts w:ascii="宋体" w:hAnsi="宋体" w:hint="eastAsia"/>
        </w:rPr>
        <w:t xml:space="preserve"> </w:t>
      </w:r>
      <w:r>
        <w:rPr>
          <w:rFonts w:ascii="宋体" w:hAnsi="宋体" w:hint="eastAsia"/>
        </w:rPr>
        <w:t>景观</w:t>
      </w:r>
      <w:bookmarkEnd w:id="24"/>
    </w:p>
    <w:p w14:paraId="2AC33D94"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【基础项】</w:t>
      </w:r>
      <w:r>
        <w:rPr>
          <w:rFonts w:hint="eastAsia"/>
          <w:b w:val="0"/>
        </w:rPr>
        <w:t>高品质住宅小区应按照《鄂尔多斯市海绵城市建设管理条例》的要求，</w:t>
      </w:r>
      <w:r>
        <w:rPr>
          <w:b w:val="0"/>
        </w:rPr>
        <w:t>提高雨水积存和</w:t>
      </w:r>
      <w:proofErr w:type="gramStart"/>
      <w:r>
        <w:rPr>
          <w:b w:val="0"/>
        </w:rPr>
        <w:t>蓄滞</w:t>
      </w:r>
      <w:proofErr w:type="gramEnd"/>
      <w:r>
        <w:rPr>
          <w:b w:val="0"/>
        </w:rPr>
        <w:t>能力</w:t>
      </w:r>
      <w:r>
        <w:rPr>
          <w:rFonts w:hint="eastAsia"/>
          <w:b w:val="0"/>
        </w:rPr>
        <w:t>。应与给排水专业协调，采用合理的雨水调蓄设施。</w:t>
      </w:r>
    </w:p>
    <w:p w14:paraId="1F1E10EA"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当设置景观水体时，应利用生态设施削减进入景观水体的径流的污染。</w:t>
      </w:r>
    </w:p>
    <w:p w14:paraId="5F7B92AF"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w:t>
      </w:r>
      <w:r>
        <w:rPr>
          <w:b w:val="0"/>
        </w:rPr>
        <w:t>绿地率</w:t>
      </w:r>
      <w:proofErr w:type="gramStart"/>
      <w:r>
        <w:rPr>
          <w:rFonts w:hint="eastAsia"/>
          <w:b w:val="0"/>
        </w:rPr>
        <w:t>宜</w:t>
      </w:r>
      <w:r>
        <w:rPr>
          <w:b w:val="0"/>
        </w:rPr>
        <w:t>达到</w:t>
      </w:r>
      <w:proofErr w:type="gramEnd"/>
      <w:r>
        <w:rPr>
          <w:b w:val="0"/>
        </w:rPr>
        <w:t>规划指标</w:t>
      </w:r>
      <w:r>
        <w:rPr>
          <w:b w:val="0"/>
        </w:rPr>
        <w:t>105%</w:t>
      </w:r>
      <w:r>
        <w:rPr>
          <w:b w:val="0"/>
        </w:rPr>
        <w:t>及以上</w:t>
      </w:r>
      <w:r>
        <w:rPr>
          <w:rFonts w:hint="eastAsia"/>
          <w:b w:val="0"/>
        </w:rPr>
        <w:t>。</w:t>
      </w:r>
    </w:p>
    <w:p w14:paraId="22B72DD3"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rFonts w:ascii="宋体" w:hAnsi="宋体" w:hint="eastAsia"/>
          <w:b w:val="0"/>
        </w:rPr>
        <w:t>有条件的高品</w:t>
      </w:r>
      <w:r>
        <w:rPr>
          <w:rFonts w:ascii="宋体" w:hAnsi="宋体" w:hint="eastAsia"/>
          <w:b w:val="0"/>
        </w:rPr>
        <w:t>质住宅小区项目，</w:t>
      </w:r>
      <w:r>
        <w:rPr>
          <w:rFonts w:hint="eastAsia"/>
          <w:b w:val="0"/>
        </w:rPr>
        <w:t>绿地率</w:t>
      </w:r>
      <w:proofErr w:type="gramStart"/>
      <w:r>
        <w:rPr>
          <w:rFonts w:hint="eastAsia"/>
          <w:b w:val="0"/>
        </w:rPr>
        <w:t>宜</w:t>
      </w:r>
      <w:r>
        <w:rPr>
          <w:b w:val="0"/>
        </w:rPr>
        <w:t>达到</w:t>
      </w:r>
      <w:proofErr w:type="gramEnd"/>
      <w:r>
        <w:rPr>
          <w:b w:val="0"/>
        </w:rPr>
        <w:t>规划指标</w:t>
      </w:r>
      <w:r>
        <w:rPr>
          <w:b w:val="0"/>
        </w:rPr>
        <w:t>110%</w:t>
      </w:r>
      <w:r>
        <w:rPr>
          <w:b w:val="0"/>
        </w:rPr>
        <w:t>及</w:t>
      </w:r>
      <w:r>
        <w:rPr>
          <w:b w:val="0"/>
        </w:rPr>
        <w:lastRenderedPageBreak/>
        <w:t>以上</w:t>
      </w:r>
      <w:r>
        <w:rPr>
          <w:rFonts w:hint="eastAsia"/>
          <w:b w:val="0"/>
        </w:rPr>
        <w:t>。</w:t>
      </w:r>
    </w:p>
    <w:p w14:paraId="6865C0DB"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【基础项】</w:t>
      </w:r>
      <w:r>
        <w:rPr>
          <w:b w:val="0"/>
        </w:rPr>
        <w:t>种植区域覆土深度和排水能力应满足植物生长需求。</w:t>
      </w:r>
    </w:p>
    <w:p w14:paraId="22A47D28" w14:textId="77777777" w:rsidR="00622EE7" w:rsidRDefault="00E60909">
      <w:pPr>
        <w:pStyle w:val="af7"/>
        <w:numPr>
          <w:ilvl w:val="0"/>
          <w:numId w:val="9"/>
        </w:numPr>
        <w:spacing w:after="0" w:afterAutospacing="0"/>
        <w:ind w:left="0" w:firstLine="0"/>
      </w:pPr>
      <w:r>
        <w:rPr>
          <w:rFonts w:ascii="楷体" w:eastAsia="楷体" w:hAnsi="楷体" w:hint="eastAsia"/>
          <w:b w:val="0"/>
        </w:rPr>
        <w:t>【基础项】</w:t>
      </w:r>
      <w:r>
        <w:rPr>
          <w:rFonts w:hint="eastAsia"/>
          <w:b w:val="0"/>
        </w:rPr>
        <w:t>高品质住宅小区</w:t>
      </w:r>
      <w:r>
        <w:rPr>
          <w:b w:val="0"/>
        </w:rPr>
        <w:t>应选用适宜当地气候特点的植物，</w:t>
      </w:r>
      <w:r>
        <w:rPr>
          <w:rFonts w:hint="eastAsia"/>
          <w:b w:val="0"/>
        </w:rPr>
        <w:t>优先选用经济合理、耐寒耐旱耐盐碱的乡土植物种苗，应避免选用易致人体过敏的植物。</w:t>
      </w:r>
    </w:p>
    <w:p w14:paraId="1B623B14"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【品质项】</w:t>
      </w:r>
      <w:r>
        <w:rPr>
          <w:rFonts w:ascii="宋体" w:hAnsi="宋体" w:hint="eastAsia"/>
          <w:b w:val="0"/>
        </w:rPr>
        <w:t>高品质</w:t>
      </w:r>
      <w:proofErr w:type="gramStart"/>
      <w:r>
        <w:rPr>
          <w:rFonts w:ascii="宋体" w:hAnsi="宋体" w:hint="eastAsia"/>
          <w:b w:val="0"/>
        </w:rPr>
        <w:t>住宅小区</w:t>
      </w:r>
      <w:r>
        <w:rPr>
          <w:rFonts w:ascii="宋体" w:hAnsi="宋体"/>
          <w:b w:val="0"/>
        </w:rPr>
        <w:t>绿植搭配</w:t>
      </w:r>
      <w:proofErr w:type="gramEnd"/>
      <w:r>
        <w:rPr>
          <w:rFonts w:ascii="宋体" w:hAnsi="宋体" w:hint="eastAsia"/>
          <w:b w:val="0"/>
        </w:rPr>
        <w:t>应</w:t>
      </w:r>
      <w:r>
        <w:rPr>
          <w:rFonts w:ascii="宋体" w:hAnsi="宋体"/>
          <w:b w:val="0"/>
        </w:rPr>
        <w:t>有层次，园林景观整体达到错落有致、三季开花、四季常绿的效果。</w:t>
      </w:r>
      <w:r>
        <w:rPr>
          <w:rFonts w:ascii="宋体" w:hAnsi="宋体" w:hint="eastAsia"/>
          <w:b w:val="0"/>
        </w:rPr>
        <w:t>乔木草本搭配、灌木草本搭配、乔木灌木草本搭配等人工植物群落类型达</w:t>
      </w:r>
      <w:r>
        <w:rPr>
          <w:rFonts w:ascii="宋体" w:hAnsi="宋体"/>
          <w:b w:val="0"/>
        </w:rPr>
        <w:t>3</w:t>
      </w:r>
      <w:r>
        <w:rPr>
          <w:rFonts w:ascii="宋体" w:hAnsi="宋体"/>
          <w:b w:val="0"/>
        </w:rPr>
        <w:t>种以上，常绿与落叶植物、彩叶与绿叶植物搭配合理，</w:t>
      </w:r>
      <w:r>
        <w:rPr>
          <w:rFonts w:ascii="宋体" w:hAnsi="宋体" w:hint="eastAsia"/>
          <w:b w:val="0"/>
        </w:rPr>
        <w:t>乔木种植的位置不应影响住宅采光。</w:t>
      </w:r>
    </w:p>
    <w:p w14:paraId="2281360D"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【提升项】</w:t>
      </w:r>
      <w:r>
        <w:rPr>
          <w:rFonts w:ascii="宋体" w:hAnsi="宋体" w:hint="eastAsia"/>
          <w:b w:val="0"/>
        </w:rPr>
        <w:t>植物种类应搭配合理且不宜少于</w:t>
      </w:r>
      <w:r>
        <w:rPr>
          <w:rFonts w:ascii="宋体" w:hAnsi="宋体"/>
          <w:b w:val="0"/>
        </w:rPr>
        <w:t>20</w:t>
      </w:r>
      <w:r>
        <w:rPr>
          <w:rFonts w:ascii="宋体" w:hAnsi="宋体" w:hint="eastAsia"/>
          <w:b w:val="0"/>
        </w:rPr>
        <w:t>种。</w:t>
      </w:r>
    </w:p>
    <w:p w14:paraId="520344A6"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品质项】</w:t>
      </w:r>
      <w:r>
        <w:rPr>
          <w:rFonts w:hint="eastAsia"/>
          <w:b w:val="0"/>
        </w:rPr>
        <w:t>住宅小区室外景观绿化硬化方案编制、施工中，用地红线（围墙）至市政道路边线（道路侧石）部分应同步规划、设计、施工、验收，实现环境的协调配合。应</w:t>
      </w:r>
      <w:r>
        <w:rPr>
          <w:b w:val="0"/>
        </w:rPr>
        <w:t>合理利用街边、街角规划街边绿地、口袋公园，美化城市界面</w:t>
      </w:r>
      <w:r>
        <w:rPr>
          <w:rFonts w:hint="eastAsia"/>
          <w:b w:val="0"/>
        </w:rPr>
        <w:t>。</w:t>
      </w:r>
    </w:p>
    <w:p w14:paraId="626D696C"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【品质项】</w:t>
      </w:r>
      <w:r>
        <w:rPr>
          <w:rFonts w:ascii="宋体" w:hAnsi="宋体" w:hint="eastAsia"/>
          <w:b w:val="0"/>
        </w:rPr>
        <w:t>住宅小区主要出入口、重要节点应设置复层混交的景观植物群落或小花镜。</w:t>
      </w:r>
    </w:p>
    <w:p w14:paraId="1A723B43"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住宅建筑主体周边除单元入口等区域外，应布置绿化带等景观元素，并</w:t>
      </w:r>
      <w:r>
        <w:rPr>
          <w:b w:val="0"/>
        </w:rPr>
        <w:t>利用景观形成可降低坠</w:t>
      </w:r>
      <w:proofErr w:type="gramStart"/>
      <w:r>
        <w:rPr>
          <w:b w:val="0"/>
        </w:rPr>
        <w:t>物风险</w:t>
      </w:r>
      <w:proofErr w:type="gramEnd"/>
      <w:r>
        <w:rPr>
          <w:b w:val="0"/>
        </w:rPr>
        <w:t>的缓冲区、隔离带。</w:t>
      </w:r>
    </w:p>
    <w:p w14:paraId="2B5849D0"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高品质住宅小区应结合景观设置室外吸烟区，室外吸烟区应设置在建筑主出入口的主导风的下风向，与所有建筑出入口、新风进气口和</w:t>
      </w:r>
      <w:proofErr w:type="gramStart"/>
      <w:r>
        <w:rPr>
          <w:rFonts w:hint="eastAsia"/>
          <w:b w:val="0"/>
        </w:rPr>
        <w:t>可</w:t>
      </w:r>
      <w:proofErr w:type="gramEnd"/>
      <w:r>
        <w:rPr>
          <w:rFonts w:hint="eastAsia"/>
          <w:b w:val="0"/>
        </w:rPr>
        <w:t>开启窗扇、</w:t>
      </w:r>
      <w:r>
        <w:rPr>
          <w:b w:val="0"/>
        </w:rPr>
        <w:t>儿童和老人活动场地</w:t>
      </w:r>
      <w:r>
        <w:rPr>
          <w:rFonts w:hint="eastAsia"/>
          <w:b w:val="0"/>
        </w:rPr>
        <w:t>的距离不应</w:t>
      </w:r>
      <w:r>
        <w:rPr>
          <w:b w:val="0"/>
        </w:rPr>
        <w:t>少于</w:t>
      </w:r>
      <w:r>
        <w:rPr>
          <w:b w:val="0"/>
        </w:rPr>
        <w:t>8m</w:t>
      </w:r>
      <w:r>
        <w:rPr>
          <w:rFonts w:hint="eastAsia"/>
          <w:b w:val="0"/>
        </w:rPr>
        <w:t>，并应设置警示标志。室外吸烟</w:t>
      </w:r>
      <w:proofErr w:type="gramStart"/>
      <w:r>
        <w:rPr>
          <w:rFonts w:hint="eastAsia"/>
          <w:b w:val="0"/>
        </w:rPr>
        <w:t>区宜设置</w:t>
      </w:r>
      <w:proofErr w:type="gramEnd"/>
      <w:r>
        <w:rPr>
          <w:rFonts w:hint="eastAsia"/>
          <w:b w:val="0"/>
        </w:rPr>
        <w:t>适宜的遮蔽措施。</w:t>
      </w:r>
    </w:p>
    <w:p w14:paraId="75148D8C"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【提升项】</w:t>
      </w:r>
      <w:r>
        <w:rPr>
          <w:rFonts w:ascii="宋体" w:hAnsi="宋体"/>
          <w:b w:val="0"/>
        </w:rPr>
        <w:t>小区内</w:t>
      </w:r>
      <w:proofErr w:type="gramStart"/>
      <w:r>
        <w:rPr>
          <w:rFonts w:ascii="宋体" w:hAnsi="宋体" w:hint="eastAsia"/>
          <w:b w:val="0"/>
        </w:rPr>
        <w:t>宜</w:t>
      </w:r>
      <w:r>
        <w:rPr>
          <w:rFonts w:ascii="宋体" w:hAnsi="宋体"/>
          <w:b w:val="0"/>
        </w:rPr>
        <w:t>合理设置康养</w:t>
      </w:r>
      <w:proofErr w:type="gramEnd"/>
      <w:r>
        <w:rPr>
          <w:rFonts w:ascii="宋体" w:hAnsi="宋体"/>
          <w:b w:val="0"/>
        </w:rPr>
        <w:t>花园、疗愈花园、宠物花园等主题花园</w:t>
      </w:r>
      <w:r>
        <w:rPr>
          <w:rFonts w:ascii="宋体" w:hAnsi="宋体" w:hint="eastAsia"/>
          <w:b w:val="0"/>
        </w:rPr>
        <w:t>。</w:t>
      </w:r>
    </w:p>
    <w:p w14:paraId="30871DA9"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【提升项】</w:t>
      </w:r>
      <w:r>
        <w:rPr>
          <w:rFonts w:hint="eastAsia"/>
          <w:b w:val="0"/>
        </w:rPr>
        <w:t>高品质小区的水景设计应考虑项目具体情况和后期维护的方便可行性，确需设置时应采用节水型设计，有条件时宜设置喷泉等儿童戏水场所，戏水场所水质应符合安全要求。</w:t>
      </w:r>
    </w:p>
    <w:p w14:paraId="4A89A227" w14:textId="77777777" w:rsidR="00622EE7" w:rsidRDefault="00E60909">
      <w:pPr>
        <w:spacing w:beforeLines="50" w:before="163" w:afterLines="50" w:after="163" w:line="360" w:lineRule="auto"/>
        <w:jc w:val="center"/>
        <w:outlineLvl w:val="2"/>
        <w:rPr>
          <w:rFonts w:ascii="宋体" w:hAnsi="宋体"/>
        </w:rPr>
      </w:pPr>
      <w:bookmarkStart w:id="25" w:name="_Toc182841342"/>
      <w:r>
        <w:rPr>
          <w:rFonts w:ascii="宋体" w:hAnsi="宋体" w:hint="eastAsia"/>
        </w:rPr>
        <w:t>Ⅱ</w:t>
      </w:r>
      <w:r>
        <w:rPr>
          <w:rFonts w:ascii="宋体" w:hAnsi="宋体" w:hint="eastAsia"/>
        </w:rPr>
        <w:t xml:space="preserve"> </w:t>
      </w:r>
      <w:r>
        <w:rPr>
          <w:rFonts w:ascii="宋体" w:hAnsi="宋体" w:hint="eastAsia"/>
        </w:rPr>
        <w:t>全龄活动场地</w:t>
      </w:r>
      <w:bookmarkEnd w:id="25"/>
    </w:p>
    <w:p w14:paraId="1D1E9021"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高品质住宅小区的活动场地应与绿地</w:t>
      </w:r>
      <w:r>
        <w:rPr>
          <w:rFonts w:hint="eastAsia"/>
          <w:b w:val="0"/>
        </w:rPr>
        <w:t>景观有机结合，并应结合景观小品、景观节点合理设置休息座椅、休憩廊架。</w:t>
      </w:r>
    </w:p>
    <w:p w14:paraId="388C1349" w14:textId="77777777" w:rsidR="00622EE7" w:rsidRDefault="00E60909">
      <w:pPr>
        <w:pStyle w:val="af7"/>
        <w:numPr>
          <w:ilvl w:val="0"/>
          <w:numId w:val="9"/>
        </w:numPr>
        <w:spacing w:after="0" w:afterAutospacing="0"/>
        <w:ind w:left="0" w:firstLine="0"/>
      </w:pPr>
      <w:r>
        <w:rPr>
          <w:rFonts w:ascii="楷体" w:eastAsia="楷体" w:hAnsi="楷体" w:hint="eastAsia"/>
          <w:b w:val="0"/>
        </w:rPr>
        <w:t>【品质项】</w:t>
      </w:r>
      <w:r>
        <w:rPr>
          <w:rFonts w:hint="eastAsia"/>
          <w:b w:val="0"/>
          <w:sz w:val="23"/>
          <w:szCs w:val="23"/>
        </w:rPr>
        <w:t>活动场所采用的防滑地面</w:t>
      </w:r>
      <w:r>
        <w:rPr>
          <w:rFonts w:hint="eastAsia"/>
          <w:b w:val="0"/>
        </w:rPr>
        <w:t>的防滑等级不应低于</w:t>
      </w:r>
      <w:proofErr w:type="gramStart"/>
      <w:r>
        <w:rPr>
          <w:rFonts w:hint="eastAsia"/>
          <w:b w:val="0"/>
        </w:rPr>
        <w:t>现行行业</w:t>
      </w:r>
      <w:proofErr w:type="gramEnd"/>
      <w:r>
        <w:rPr>
          <w:rFonts w:hint="eastAsia"/>
          <w:b w:val="0"/>
        </w:rPr>
        <w:t>标准《建</w:t>
      </w:r>
      <w:r>
        <w:rPr>
          <w:rFonts w:hint="eastAsia"/>
          <w:b w:val="0"/>
        </w:rPr>
        <w:lastRenderedPageBreak/>
        <w:t>筑地面工程防滑技术规程》</w:t>
      </w:r>
      <w:r>
        <w:rPr>
          <w:b w:val="0"/>
        </w:rPr>
        <w:t>JGJ/T 331</w:t>
      </w:r>
      <w:r>
        <w:rPr>
          <w:b w:val="0"/>
        </w:rPr>
        <w:t>规定的</w:t>
      </w:r>
      <w:r>
        <w:rPr>
          <w:b w:val="0"/>
          <w:i/>
        </w:rPr>
        <w:t>A</w:t>
      </w:r>
      <w:r>
        <w:rPr>
          <w:b w:val="0"/>
          <w:i/>
          <w:vertAlign w:val="subscript"/>
        </w:rPr>
        <w:t>d</w:t>
      </w:r>
      <w:r>
        <w:rPr>
          <w:b w:val="0"/>
        </w:rPr>
        <w:t>、</w:t>
      </w:r>
      <w:r>
        <w:rPr>
          <w:b w:val="0"/>
          <w:i/>
        </w:rPr>
        <w:t>A</w:t>
      </w:r>
      <w:r>
        <w:rPr>
          <w:b w:val="0"/>
          <w:i/>
          <w:vertAlign w:val="subscript"/>
        </w:rPr>
        <w:t>w</w:t>
      </w:r>
      <w:r>
        <w:rPr>
          <w:b w:val="0"/>
        </w:rPr>
        <w:t>级</w:t>
      </w:r>
      <w:r>
        <w:rPr>
          <w:rFonts w:hint="eastAsia"/>
          <w:b w:val="0"/>
        </w:rPr>
        <w:t>。</w:t>
      </w:r>
    </w:p>
    <w:p w14:paraId="70CCB46E"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w:t>
      </w:r>
      <w:r>
        <w:rPr>
          <w:b w:val="0"/>
        </w:rPr>
        <w:t>结合景观步行系统设置健身步道，</w:t>
      </w:r>
      <w:r>
        <w:rPr>
          <w:rFonts w:hint="eastAsia"/>
          <w:b w:val="0"/>
        </w:rPr>
        <w:t>并应符合以下规定：</w:t>
      </w:r>
    </w:p>
    <w:p w14:paraId="7832C2CA" w14:textId="77777777" w:rsidR="00622EE7" w:rsidRDefault="00E60909">
      <w:pPr>
        <w:pStyle w:val="af9"/>
        <w:numPr>
          <w:ilvl w:val="3"/>
          <w:numId w:val="10"/>
        </w:numPr>
        <w:tabs>
          <w:tab w:val="clear" w:pos="340"/>
          <w:tab w:val="clear" w:pos="453"/>
        </w:tabs>
        <w:spacing w:line="360" w:lineRule="auto"/>
        <w:ind w:firstLine="424"/>
        <w:jc w:val="both"/>
        <w:outlineLvl w:val="9"/>
        <w:rPr>
          <w:szCs w:val="24"/>
        </w:rPr>
      </w:pPr>
      <w:r>
        <w:rPr>
          <w:rFonts w:ascii="Times New Roman" w:eastAsia="宋体" w:hAnsi="Times New Roman" w:hint="eastAsia"/>
          <w:sz w:val="24"/>
          <w:szCs w:val="24"/>
        </w:rPr>
        <w:t>健身步道应尽量避免与车行道交叉，健身步道宽度应≥</w:t>
      </w:r>
      <w:r>
        <w:rPr>
          <w:rFonts w:ascii="Times New Roman" w:eastAsia="宋体" w:hAnsi="Times New Roman"/>
          <w:sz w:val="24"/>
          <w:szCs w:val="24"/>
        </w:rPr>
        <w:t>1.25m</w:t>
      </w:r>
      <w:r>
        <w:rPr>
          <w:rFonts w:ascii="Times New Roman" w:eastAsia="宋体" w:hAnsi="Times New Roman" w:hint="eastAsia"/>
          <w:sz w:val="24"/>
          <w:szCs w:val="24"/>
        </w:rPr>
        <w:t>，连续长度不应少于用地红线周长的</w:t>
      </w:r>
      <w:r>
        <w:rPr>
          <w:rFonts w:ascii="Times New Roman" w:eastAsia="宋体" w:hAnsi="Times New Roman"/>
          <w:sz w:val="24"/>
          <w:szCs w:val="24"/>
        </w:rPr>
        <w:t>1/4</w:t>
      </w:r>
      <w:r>
        <w:rPr>
          <w:rFonts w:ascii="Times New Roman" w:eastAsia="宋体" w:hAnsi="Times New Roman" w:hint="eastAsia"/>
          <w:sz w:val="24"/>
          <w:szCs w:val="24"/>
        </w:rPr>
        <w:t>，且不应少于</w:t>
      </w:r>
      <w:r>
        <w:rPr>
          <w:rFonts w:ascii="Times New Roman" w:eastAsia="宋体" w:hAnsi="Times New Roman"/>
          <w:sz w:val="24"/>
          <w:szCs w:val="24"/>
        </w:rPr>
        <w:t>100m</w:t>
      </w:r>
      <w:r>
        <w:rPr>
          <w:rFonts w:ascii="Times New Roman" w:eastAsia="宋体" w:hAnsi="Times New Roman" w:hint="eastAsia"/>
          <w:sz w:val="24"/>
          <w:szCs w:val="24"/>
        </w:rPr>
        <w:t>；</w:t>
      </w:r>
    </w:p>
    <w:p w14:paraId="4E67AFB3" w14:textId="77777777" w:rsidR="00622EE7" w:rsidRDefault="00E60909">
      <w:pPr>
        <w:pStyle w:val="af9"/>
        <w:numPr>
          <w:ilvl w:val="3"/>
          <w:numId w:val="10"/>
        </w:numPr>
        <w:tabs>
          <w:tab w:val="clear" w:pos="340"/>
          <w:tab w:val="clear" w:pos="453"/>
        </w:tabs>
        <w:spacing w:line="360" w:lineRule="auto"/>
        <w:ind w:firstLine="424"/>
        <w:jc w:val="both"/>
        <w:outlineLvl w:val="9"/>
        <w:rPr>
          <w:szCs w:val="24"/>
        </w:rPr>
      </w:pPr>
      <w:r>
        <w:rPr>
          <w:rFonts w:ascii="Times New Roman" w:eastAsia="宋体" w:hAnsi="Times New Roman" w:hint="eastAsia"/>
          <w:sz w:val="24"/>
          <w:szCs w:val="24"/>
        </w:rPr>
        <w:t>健身步道应和周边路面有明显的颜色和材质区别，应设置健身引导标识，并应采用弹性减震、防滑环保的铺装材料；</w:t>
      </w:r>
    </w:p>
    <w:p w14:paraId="7ACC4AA7" w14:textId="77777777" w:rsidR="00622EE7" w:rsidRDefault="00E60909">
      <w:pPr>
        <w:pStyle w:val="af9"/>
        <w:numPr>
          <w:ilvl w:val="3"/>
          <w:numId w:val="1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健身步道应合理设置休憩设施和照明设施。</w:t>
      </w:r>
    </w:p>
    <w:p w14:paraId="0A58E6B3"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w:t>
      </w:r>
      <w:r>
        <w:rPr>
          <w:b w:val="0"/>
        </w:rPr>
        <w:t>小区内</w:t>
      </w:r>
      <w:r>
        <w:rPr>
          <w:rFonts w:hint="eastAsia"/>
          <w:b w:val="0"/>
        </w:rPr>
        <w:t>应</w:t>
      </w:r>
      <w:r>
        <w:rPr>
          <w:b w:val="0"/>
        </w:rPr>
        <w:t>合理配备健身器材的</w:t>
      </w:r>
      <w:r>
        <w:rPr>
          <w:rFonts w:hint="eastAsia"/>
          <w:b w:val="0"/>
        </w:rPr>
        <w:t>室外</w:t>
      </w:r>
      <w:r>
        <w:rPr>
          <w:b w:val="0"/>
        </w:rPr>
        <w:t>健身场地</w:t>
      </w:r>
      <w:r>
        <w:rPr>
          <w:rFonts w:hint="eastAsia"/>
          <w:b w:val="0"/>
        </w:rPr>
        <w:t>。</w:t>
      </w:r>
    </w:p>
    <w:p w14:paraId="0F972896"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高品质住宅小区应合理设置老人、儿童的活动和游乐场地，应</w:t>
      </w:r>
      <w:r>
        <w:rPr>
          <w:b w:val="0"/>
        </w:rPr>
        <w:t>有不少于</w:t>
      </w:r>
      <w:r>
        <w:rPr>
          <w:b w:val="0"/>
        </w:rPr>
        <w:t>1/3</w:t>
      </w:r>
      <w:r>
        <w:rPr>
          <w:b w:val="0"/>
        </w:rPr>
        <w:t>的活动面积满足不低于大寒日</w:t>
      </w:r>
      <w:r>
        <w:rPr>
          <w:b w:val="0"/>
        </w:rPr>
        <w:t>3</w:t>
      </w:r>
      <w:r>
        <w:rPr>
          <w:b w:val="0"/>
        </w:rPr>
        <w:t>小时的日照标准</w:t>
      </w:r>
      <w:r>
        <w:rPr>
          <w:rFonts w:hint="eastAsia"/>
          <w:b w:val="0"/>
        </w:rPr>
        <w:t>。且应平坦无高差，可在周边设置休息座椅、垃圾收集设施等。</w:t>
      </w:r>
    </w:p>
    <w:p w14:paraId="34FCC7E0"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儿童游乐场应设置不少于</w:t>
      </w:r>
      <w:r>
        <w:rPr>
          <w:rFonts w:hint="eastAsia"/>
          <w:b w:val="0"/>
        </w:rPr>
        <w:t>3</w:t>
      </w:r>
      <w:r>
        <w:rPr>
          <w:rFonts w:hint="eastAsia"/>
          <w:b w:val="0"/>
        </w:rPr>
        <w:t>件（套）的娱乐设施，并应采用色彩鲜明的软性地面铺装。</w:t>
      </w:r>
    </w:p>
    <w:p w14:paraId="608CBDDB"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高品质住宅小区应结合</w:t>
      </w:r>
      <w:r>
        <w:rPr>
          <w:b w:val="0"/>
        </w:rPr>
        <w:t>公共活动场</w:t>
      </w:r>
      <w:r>
        <w:rPr>
          <w:b w:val="0"/>
        </w:rPr>
        <w:t>地合理设置</w:t>
      </w:r>
      <w:r>
        <w:rPr>
          <w:rFonts w:hint="eastAsia"/>
          <w:b w:val="0"/>
        </w:rPr>
        <w:t>无障碍</w:t>
      </w:r>
      <w:r>
        <w:rPr>
          <w:b w:val="0"/>
        </w:rPr>
        <w:t>公共厕所</w:t>
      </w:r>
      <w:r>
        <w:rPr>
          <w:rFonts w:hint="eastAsia"/>
          <w:b w:val="0"/>
        </w:rPr>
        <w:t>，其内部应留有直径不小于</w:t>
      </w:r>
      <w:r>
        <w:rPr>
          <w:rFonts w:hint="eastAsia"/>
          <w:b w:val="0"/>
        </w:rPr>
        <w:t>1</w:t>
      </w:r>
      <w:r>
        <w:rPr>
          <w:b w:val="0"/>
        </w:rPr>
        <w:t>.5</w:t>
      </w:r>
      <w:r>
        <w:rPr>
          <w:rFonts w:hint="eastAsia"/>
          <w:b w:val="0"/>
        </w:rPr>
        <w:t>m</w:t>
      </w:r>
      <w:r>
        <w:rPr>
          <w:rFonts w:hint="eastAsia"/>
          <w:b w:val="0"/>
        </w:rPr>
        <w:t>的轮椅回转空间，并配置扶手、无障碍洗手池等无障碍设施。</w:t>
      </w:r>
    </w:p>
    <w:p w14:paraId="125C6077" w14:textId="77777777" w:rsidR="00622EE7" w:rsidRDefault="00E60909">
      <w:pPr>
        <w:spacing w:beforeLines="50" w:before="163" w:afterLines="50" w:after="163" w:line="360" w:lineRule="auto"/>
        <w:jc w:val="center"/>
        <w:outlineLvl w:val="2"/>
        <w:rPr>
          <w:rFonts w:ascii="宋体" w:hAnsi="宋体"/>
        </w:rPr>
      </w:pPr>
      <w:bookmarkStart w:id="26" w:name="_Toc182841343"/>
      <w:r>
        <w:rPr>
          <w:rFonts w:ascii="宋体" w:hAnsi="宋体" w:hint="eastAsia"/>
        </w:rPr>
        <w:t>Ⅲ</w:t>
      </w:r>
      <w:r>
        <w:rPr>
          <w:rFonts w:ascii="宋体" w:hAnsi="宋体" w:hint="eastAsia"/>
        </w:rPr>
        <w:t xml:space="preserve"> </w:t>
      </w:r>
      <w:r>
        <w:rPr>
          <w:rFonts w:ascii="宋体" w:hAnsi="宋体" w:hint="eastAsia"/>
        </w:rPr>
        <w:t>垃圾收集和遮蔽措施</w:t>
      </w:r>
      <w:bookmarkEnd w:id="26"/>
    </w:p>
    <w:p w14:paraId="7CED69E7"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【提升项】</w:t>
      </w:r>
      <w:r>
        <w:rPr>
          <w:rFonts w:hint="eastAsia"/>
          <w:b w:val="0"/>
        </w:rPr>
        <w:t>宜结合景观设计，在不影响功能及警示的前提下，对室外变电室、开关所、垃圾转运站及收集点、燃气调压房、水泵房、公厕、居民存车处等设施进行遮护、围挡或美化设计。</w:t>
      </w:r>
    </w:p>
    <w:p w14:paraId="3B04B75B"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垃圾收集点位置应</w:t>
      </w:r>
      <w:r>
        <w:rPr>
          <w:b w:val="0"/>
        </w:rPr>
        <w:t>避开人流汇集区域和小区主要景观道路</w:t>
      </w:r>
      <w:r>
        <w:rPr>
          <w:rFonts w:hint="eastAsia"/>
          <w:b w:val="0"/>
        </w:rPr>
        <w:t>，应置于隐蔽、避风处，并与周围景观相协调，垃圾收集点的地面应硬化处理，宜与小区道路同高，有高差时应设置斜坡。</w:t>
      </w:r>
    </w:p>
    <w:p w14:paraId="3EFB0263"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垃圾收集设施数量、外观色彩及标</w:t>
      </w:r>
      <w:r>
        <w:rPr>
          <w:rFonts w:hint="eastAsia"/>
          <w:b w:val="0"/>
        </w:rPr>
        <w:t>志应符合垃圾分类收集的要求。</w:t>
      </w:r>
    </w:p>
    <w:p w14:paraId="3E97721F"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b w:val="0"/>
        </w:rPr>
        <w:t>垃圾容器和收集点附近</w:t>
      </w:r>
      <w:proofErr w:type="gramStart"/>
      <w:r>
        <w:rPr>
          <w:rFonts w:hint="eastAsia"/>
          <w:b w:val="0"/>
        </w:rPr>
        <w:t>宜设置</w:t>
      </w:r>
      <w:proofErr w:type="gramEnd"/>
      <w:r>
        <w:rPr>
          <w:b w:val="0"/>
        </w:rPr>
        <w:t>取水点，便于清洁</w:t>
      </w:r>
      <w:r>
        <w:rPr>
          <w:rFonts w:hint="eastAsia"/>
          <w:b w:val="0"/>
        </w:rPr>
        <w:t>。</w:t>
      </w:r>
    </w:p>
    <w:p w14:paraId="5301E727"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rFonts w:hint="eastAsia"/>
          <w:b w:val="0"/>
        </w:rPr>
        <w:t>垃圾收集点</w:t>
      </w:r>
      <w:proofErr w:type="gramStart"/>
      <w:r>
        <w:rPr>
          <w:rFonts w:hint="eastAsia"/>
          <w:b w:val="0"/>
        </w:rPr>
        <w:t>宜合理</w:t>
      </w:r>
      <w:proofErr w:type="gramEnd"/>
      <w:r>
        <w:rPr>
          <w:rFonts w:hint="eastAsia"/>
          <w:b w:val="0"/>
        </w:rPr>
        <w:t>采用冬季防寒、夏季防止气味外溢的设施，</w:t>
      </w:r>
      <w:r>
        <w:rPr>
          <w:rFonts w:hint="eastAsia"/>
          <w:b w:val="0"/>
        </w:rPr>
        <w:lastRenderedPageBreak/>
        <w:t>有条件的项目</w:t>
      </w:r>
      <w:proofErr w:type="gramStart"/>
      <w:r>
        <w:rPr>
          <w:rFonts w:hint="eastAsia"/>
          <w:b w:val="0"/>
        </w:rPr>
        <w:t>宜设置</w:t>
      </w:r>
      <w:proofErr w:type="gramEnd"/>
      <w:r>
        <w:rPr>
          <w:rFonts w:hint="eastAsia"/>
          <w:b w:val="0"/>
        </w:rPr>
        <w:t>智慧垃圾分类收集设施。</w:t>
      </w:r>
    </w:p>
    <w:p w14:paraId="0B0D9F7C"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rFonts w:hint="eastAsia"/>
          <w:b w:val="0"/>
        </w:rPr>
        <w:t>小区内设置垃圾收集站时，宜对小区内外均设入口，便于垃圾收集转运，或设置专门的垃圾运输通道。</w:t>
      </w:r>
    </w:p>
    <w:p w14:paraId="24AC0322" w14:textId="77777777" w:rsidR="00622EE7" w:rsidRDefault="00E60909">
      <w:pPr>
        <w:pStyle w:val="af7"/>
        <w:numPr>
          <w:ilvl w:val="0"/>
          <w:numId w:val="9"/>
        </w:numPr>
        <w:spacing w:after="0" w:afterAutospacing="0"/>
        <w:ind w:left="0" w:firstLine="0"/>
      </w:pPr>
      <w:r>
        <w:rPr>
          <w:rFonts w:hint="eastAsia"/>
          <w:b w:val="0"/>
        </w:rPr>
        <w:t>【</w:t>
      </w:r>
      <w:r>
        <w:rPr>
          <w:rFonts w:ascii="楷体" w:eastAsia="楷体" w:hAnsi="楷体" w:hint="eastAsia"/>
          <w:b w:val="0"/>
        </w:rPr>
        <w:t>提升项】</w:t>
      </w:r>
      <w:r>
        <w:rPr>
          <w:rFonts w:hint="eastAsia"/>
          <w:b w:val="0"/>
        </w:rPr>
        <w:t>小区内宜根据项目位置和周边情况合理设置隔声、降噪、防尘措施。</w:t>
      </w:r>
    </w:p>
    <w:p w14:paraId="7600F3D5" w14:textId="77777777" w:rsidR="00622EE7" w:rsidRDefault="00E60909">
      <w:pPr>
        <w:spacing w:beforeLines="50" w:before="163" w:afterLines="50" w:after="163" w:line="360" w:lineRule="auto"/>
        <w:jc w:val="center"/>
        <w:outlineLvl w:val="1"/>
        <w:rPr>
          <w:rFonts w:ascii="Times New Roman" w:eastAsia="黑体" w:hAnsi="Times New Roman"/>
        </w:rPr>
      </w:pPr>
      <w:bookmarkStart w:id="27" w:name="_Toc182841344"/>
      <w:r>
        <w:rPr>
          <w:rFonts w:ascii="Times New Roman" w:eastAsia="黑体" w:hAnsi="Times New Roman"/>
        </w:rPr>
        <w:t xml:space="preserve">5.4 </w:t>
      </w:r>
      <w:r>
        <w:rPr>
          <w:rFonts w:ascii="Times New Roman" w:eastAsia="黑体" w:hAnsi="Times New Roman" w:hint="eastAsia"/>
        </w:rPr>
        <w:t>小区配套</w:t>
      </w:r>
      <w:bookmarkEnd w:id="27"/>
    </w:p>
    <w:p w14:paraId="1D973355" w14:textId="77777777" w:rsidR="00622EE7" w:rsidRDefault="00E60909">
      <w:pPr>
        <w:spacing w:beforeLines="50" w:before="163" w:afterLines="50" w:after="163" w:line="360" w:lineRule="auto"/>
        <w:jc w:val="center"/>
        <w:outlineLvl w:val="2"/>
        <w:rPr>
          <w:rFonts w:ascii="宋体" w:hAnsi="宋体"/>
        </w:rPr>
      </w:pPr>
      <w:bookmarkStart w:id="28" w:name="_Toc182841345"/>
      <w:r>
        <w:rPr>
          <w:rFonts w:ascii="宋体" w:hAnsi="宋体" w:hint="eastAsia"/>
        </w:rPr>
        <w:t>Ⅰ</w:t>
      </w:r>
      <w:r>
        <w:rPr>
          <w:rFonts w:ascii="宋体" w:hAnsi="宋体" w:hint="eastAsia"/>
        </w:rPr>
        <w:t xml:space="preserve"> </w:t>
      </w:r>
      <w:r>
        <w:rPr>
          <w:rFonts w:ascii="宋体" w:hAnsi="宋体" w:hint="eastAsia"/>
        </w:rPr>
        <w:t>完整社区</w:t>
      </w:r>
      <w:bookmarkEnd w:id="28"/>
    </w:p>
    <w:p w14:paraId="4C990E95"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bCs/>
        </w:rPr>
        <w:t>高品质住宅小区应依据场地周边配套，针对性补充城市配套服务短板。</w:t>
      </w:r>
      <w:r>
        <w:rPr>
          <w:rFonts w:hint="eastAsia"/>
          <w:bCs/>
        </w:rPr>
        <w:t>配套设施应与住宅同步规划、同步建设、同步竣工、同步交付使用。</w:t>
      </w:r>
    </w:p>
    <w:p w14:paraId="26D147A4" w14:textId="77777777" w:rsidR="00622EE7" w:rsidRDefault="00E60909">
      <w:pPr>
        <w:pStyle w:val="af3"/>
        <w:numPr>
          <w:ilvl w:val="0"/>
          <w:numId w:val="11"/>
        </w:numPr>
        <w:ind w:left="0" w:firstLineChars="0" w:firstLine="0"/>
        <w:contextualSpacing/>
        <w:rPr>
          <w:b/>
        </w:rPr>
      </w:pPr>
      <w:r>
        <w:rPr>
          <w:rFonts w:ascii="楷体" w:eastAsia="楷体" w:hAnsi="楷体" w:hint="eastAsia"/>
        </w:rPr>
        <w:t>【基础项】</w:t>
      </w:r>
      <w:r>
        <w:t>高品质住宅小区应实现公共交通可达，场地人行出入口</w:t>
      </w:r>
      <w:r>
        <w:t>500m</w:t>
      </w:r>
      <w:r>
        <w:t>内应设有公共交通站点，或配有联系公共交通站点的接驳车辆。</w:t>
      </w:r>
    </w:p>
    <w:p w14:paraId="45B62C6E"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rFonts w:hint="eastAsia"/>
          <w:bCs/>
        </w:rPr>
        <w:t>高品质住宅小区供水、排水、供电、道路、供气、供热</w:t>
      </w:r>
      <w:r>
        <w:rPr>
          <w:bCs/>
        </w:rPr>
        <w:t>、通信等设施</w:t>
      </w:r>
      <w:r>
        <w:rPr>
          <w:rFonts w:hint="eastAsia"/>
          <w:bCs/>
        </w:rPr>
        <w:t>应配备齐全，</w:t>
      </w:r>
      <w:r>
        <w:rPr>
          <w:bCs/>
        </w:rPr>
        <w:t>实现光纤入户</w:t>
      </w:r>
      <w:r>
        <w:rPr>
          <w:rFonts w:hint="eastAsia"/>
          <w:bCs/>
        </w:rPr>
        <w:t>，</w:t>
      </w:r>
      <w:r>
        <w:rPr>
          <w:bCs/>
        </w:rPr>
        <w:t>达到设施完好、运行安全、供给稳定</w:t>
      </w:r>
      <w:r>
        <w:rPr>
          <w:rFonts w:hint="eastAsia"/>
          <w:bCs/>
        </w:rPr>
        <w:t>。</w:t>
      </w:r>
    </w:p>
    <w:p w14:paraId="78D3473B" w14:textId="77777777" w:rsidR="00622EE7" w:rsidRDefault="00E60909">
      <w:pPr>
        <w:pStyle w:val="af8"/>
        <w:numPr>
          <w:ilvl w:val="0"/>
          <w:numId w:val="11"/>
        </w:numPr>
        <w:ind w:left="0" w:firstLine="0"/>
        <w:rPr>
          <w:rFonts w:ascii="楷体" w:eastAsia="楷体" w:hAnsi="楷体"/>
        </w:rPr>
      </w:pPr>
      <w:r>
        <w:rPr>
          <w:rFonts w:ascii="楷体" w:eastAsia="楷体" w:hAnsi="楷体" w:hint="eastAsia"/>
        </w:rPr>
        <w:t>【品质项】</w:t>
      </w:r>
      <w:r>
        <w:rPr>
          <w:rFonts w:hint="eastAsia"/>
        </w:rPr>
        <w:t>地下车库、电梯、通道等公共区域应实现移动通信信号全覆盖。</w:t>
      </w:r>
    </w:p>
    <w:p w14:paraId="5C60A961"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高品质住宅小区应设置综合服务站，并按照规划建设要求设置</w:t>
      </w:r>
      <w:r>
        <w:rPr>
          <w:bCs/>
        </w:rPr>
        <w:t>服务大厅、居委会办公室</w:t>
      </w:r>
      <w:r>
        <w:rPr>
          <w:rFonts w:hint="eastAsia"/>
          <w:bCs/>
        </w:rPr>
        <w:t>、</w:t>
      </w:r>
      <w:r>
        <w:rPr>
          <w:bCs/>
        </w:rPr>
        <w:t>居民活动用房、党群活动中心</w:t>
      </w:r>
      <w:r>
        <w:rPr>
          <w:rFonts w:hint="eastAsia"/>
          <w:bCs/>
        </w:rPr>
        <w:t>、</w:t>
      </w:r>
      <w:r>
        <w:rPr>
          <w:bCs/>
        </w:rPr>
        <w:t>警务室</w:t>
      </w:r>
      <w:r>
        <w:rPr>
          <w:rFonts w:hint="eastAsia"/>
          <w:bCs/>
        </w:rPr>
        <w:t>等功能。</w:t>
      </w:r>
    </w:p>
    <w:p w14:paraId="034ECD54" w14:textId="77777777" w:rsidR="00622EE7" w:rsidRDefault="00E60909">
      <w:pPr>
        <w:pStyle w:val="af3"/>
        <w:numPr>
          <w:ilvl w:val="0"/>
          <w:numId w:val="11"/>
        </w:numPr>
        <w:ind w:left="0" w:firstLineChars="0" w:firstLine="0"/>
        <w:contextualSpacing/>
        <w:rPr>
          <w:bCs/>
        </w:rPr>
      </w:pPr>
      <w:r>
        <w:rPr>
          <w:rFonts w:ascii="楷体" w:eastAsia="楷体" w:hAnsi="楷体" w:hint="eastAsia"/>
        </w:rPr>
        <w:t>【提升项】</w:t>
      </w:r>
      <w:r>
        <w:rPr>
          <w:rFonts w:hint="eastAsia"/>
          <w:bCs/>
        </w:rPr>
        <w:t>高品质住宅小区宜根据项目情况设置室内</w:t>
      </w:r>
      <w:r>
        <w:rPr>
          <w:bCs/>
        </w:rPr>
        <w:t>健身场地，如</w:t>
      </w:r>
      <w:r>
        <w:rPr>
          <w:rFonts w:hint="eastAsia"/>
          <w:bCs/>
        </w:rPr>
        <w:t>器械健身场地、</w:t>
      </w:r>
      <w:r>
        <w:rPr>
          <w:bCs/>
        </w:rPr>
        <w:t>乒乓球场地、游泳池</w:t>
      </w:r>
      <w:r>
        <w:rPr>
          <w:rFonts w:hint="eastAsia"/>
          <w:bCs/>
        </w:rPr>
        <w:t>，室内健身场地宜有自然采光通风。</w:t>
      </w:r>
    </w:p>
    <w:p w14:paraId="0127AFE4" w14:textId="77777777" w:rsidR="00622EE7" w:rsidRDefault="00E60909">
      <w:pPr>
        <w:spacing w:beforeLines="50" w:before="163" w:afterLines="50" w:after="163" w:line="360" w:lineRule="auto"/>
        <w:jc w:val="center"/>
        <w:outlineLvl w:val="2"/>
        <w:rPr>
          <w:rFonts w:ascii="宋体" w:hAnsi="宋体"/>
        </w:rPr>
      </w:pPr>
      <w:bookmarkStart w:id="29" w:name="_Toc182841346"/>
      <w:r>
        <w:rPr>
          <w:rFonts w:ascii="宋体" w:hAnsi="宋体" w:hint="eastAsia"/>
        </w:rPr>
        <w:t>Ⅱ</w:t>
      </w:r>
      <w:r>
        <w:rPr>
          <w:rFonts w:ascii="宋体" w:hAnsi="宋体" w:hint="eastAsia"/>
        </w:rPr>
        <w:t xml:space="preserve"> </w:t>
      </w:r>
      <w:r>
        <w:rPr>
          <w:rFonts w:ascii="宋体" w:hAnsi="宋体" w:hint="eastAsia"/>
        </w:rPr>
        <w:t>商业文教</w:t>
      </w:r>
      <w:bookmarkEnd w:id="29"/>
    </w:p>
    <w:p w14:paraId="6A935CEC"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bCs/>
        </w:rPr>
        <w:t>高品质住宅小区配套商业服务用房应独立设置，</w:t>
      </w:r>
      <w:r>
        <w:rPr>
          <w:rFonts w:hint="eastAsia"/>
          <w:bCs/>
        </w:rPr>
        <w:t>不应影响住宅采光，其</w:t>
      </w:r>
      <w:r>
        <w:rPr>
          <w:bCs/>
        </w:rPr>
        <w:t>综合管线应独立设置，厨房油烟等废气经油烟净化装置处理后方能经排油烟风机排至室外。</w:t>
      </w:r>
    </w:p>
    <w:p w14:paraId="3260C92F"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沿街商业应独立，外观应与住宅建筑统一规划设计，外立面整齐美观、</w:t>
      </w:r>
      <w:r>
        <w:t>比例和谐</w:t>
      </w:r>
      <w:r>
        <w:rPr>
          <w:rFonts w:hint="eastAsia"/>
          <w:bCs/>
        </w:rPr>
        <w:t>。</w:t>
      </w:r>
      <w:r>
        <w:rPr>
          <w:bCs/>
        </w:rPr>
        <w:t>排油烟管道位置不应影响小区内的环境美观。</w:t>
      </w:r>
    </w:p>
    <w:p w14:paraId="4612D5AF"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高品质住宅小区配套</w:t>
      </w:r>
      <w:r>
        <w:rPr>
          <w:rFonts w:hint="eastAsia"/>
          <w:bCs/>
        </w:rPr>
        <w:t>商业应包括果蔬生鲜商店、便民超市、便利店或综合超市、餐饮店、食堂等，综合超市附近应设置机动车和非机动车停车位。</w:t>
      </w:r>
    </w:p>
    <w:p w14:paraId="5B9C6A99" w14:textId="77777777" w:rsidR="00622EE7" w:rsidRDefault="00E60909">
      <w:pPr>
        <w:pStyle w:val="af3"/>
        <w:numPr>
          <w:ilvl w:val="0"/>
          <w:numId w:val="11"/>
        </w:numPr>
        <w:ind w:left="0" w:firstLineChars="0" w:firstLine="0"/>
        <w:contextualSpacing/>
        <w:rPr>
          <w:bCs/>
        </w:rPr>
      </w:pPr>
      <w:r>
        <w:rPr>
          <w:rFonts w:ascii="楷体" w:eastAsia="楷体" w:hAnsi="楷体" w:hint="eastAsia"/>
        </w:rPr>
        <w:t>【提升项】</w:t>
      </w:r>
      <w:r>
        <w:rPr>
          <w:rFonts w:hint="eastAsia"/>
          <w:bCs/>
        </w:rPr>
        <w:t>高品质住宅小区宜统一规划设置家政服务网点、理发店、洗衣</w:t>
      </w:r>
      <w:r>
        <w:rPr>
          <w:rFonts w:hint="eastAsia"/>
          <w:bCs/>
        </w:rPr>
        <w:lastRenderedPageBreak/>
        <w:t>店、洗车房、药店。</w:t>
      </w:r>
    </w:p>
    <w:p w14:paraId="1AB24920" w14:textId="77777777" w:rsidR="00622EE7" w:rsidRDefault="00E60909">
      <w:pPr>
        <w:pStyle w:val="af3"/>
        <w:numPr>
          <w:ilvl w:val="0"/>
          <w:numId w:val="11"/>
        </w:numPr>
        <w:ind w:left="0" w:firstLineChars="0" w:firstLine="0"/>
        <w:contextualSpacing/>
        <w:rPr>
          <w:bCs/>
        </w:rPr>
      </w:pPr>
      <w:r>
        <w:rPr>
          <w:rFonts w:hint="eastAsia"/>
          <w:bCs/>
        </w:rPr>
        <w:t>【</w:t>
      </w:r>
      <w:r>
        <w:rPr>
          <w:rFonts w:ascii="楷体" w:eastAsia="楷体" w:hAnsi="楷体" w:hint="eastAsia"/>
        </w:rPr>
        <w:t>提升项】</w:t>
      </w:r>
      <w:r>
        <w:rPr>
          <w:rFonts w:hint="eastAsia"/>
          <w:bCs/>
        </w:rPr>
        <w:t>高品质住宅小区宜在住宅小区内</w:t>
      </w:r>
      <w:r>
        <w:rPr>
          <w:bCs/>
        </w:rPr>
        <w:t>合理设置阅览室、图书室</w:t>
      </w:r>
      <w:r>
        <w:rPr>
          <w:rFonts w:hint="eastAsia"/>
          <w:bCs/>
        </w:rPr>
        <w:t>等文化教育服务设施。</w:t>
      </w:r>
    </w:p>
    <w:p w14:paraId="44AC066C" w14:textId="77777777" w:rsidR="00622EE7" w:rsidRDefault="00E60909">
      <w:pPr>
        <w:spacing w:beforeLines="50" w:before="163" w:afterLines="50" w:after="163" w:line="360" w:lineRule="auto"/>
        <w:jc w:val="center"/>
        <w:outlineLvl w:val="2"/>
        <w:rPr>
          <w:rFonts w:ascii="宋体" w:hAnsi="宋体"/>
        </w:rPr>
      </w:pPr>
      <w:bookmarkStart w:id="30" w:name="_Toc182841347"/>
      <w:r>
        <w:rPr>
          <w:rFonts w:ascii="宋体" w:hAnsi="宋体" w:hint="eastAsia"/>
        </w:rPr>
        <w:t>Ⅲ</w:t>
      </w:r>
      <w:r>
        <w:rPr>
          <w:rFonts w:ascii="宋体" w:hAnsi="宋体" w:hint="eastAsia"/>
        </w:rPr>
        <w:t xml:space="preserve"> </w:t>
      </w:r>
      <w:proofErr w:type="gramStart"/>
      <w:r>
        <w:rPr>
          <w:rFonts w:ascii="宋体" w:hAnsi="宋体" w:hint="eastAsia"/>
        </w:rPr>
        <w:t>适老适幼</w:t>
      </w:r>
      <w:bookmarkEnd w:id="30"/>
      <w:proofErr w:type="gramEnd"/>
    </w:p>
    <w:p w14:paraId="167F471C"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高品质住宅小区应</w:t>
      </w:r>
      <w:r>
        <w:rPr>
          <w:bCs/>
        </w:rPr>
        <w:t>合理设置儿童活动室</w:t>
      </w:r>
      <w:r>
        <w:rPr>
          <w:rFonts w:hint="eastAsia"/>
          <w:bCs/>
        </w:rPr>
        <w:t>、儿童阅览室等儿童活动专用配套用房，儿童活动室室内应设护角等防磕碰措施。</w:t>
      </w:r>
    </w:p>
    <w:p w14:paraId="2BD7C9E6" w14:textId="77777777" w:rsidR="00622EE7" w:rsidRDefault="00E60909">
      <w:pPr>
        <w:pStyle w:val="af8"/>
        <w:numPr>
          <w:ilvl w:val="0"/>
          <w:numId w:val="11"/>
        </w:numPr>
        <w:ind w:left="0" w:firstLine="0"/>
        <w:rPr>
          <w:bCs/>
        </w:rPr>
      </w:pPr>
      <w:r>
        <w:rPr>
          <w:rFonts w:ascii="楷体" w:eastAsia="楷体" w:hAnsi="楷体" w:hint="eastAsia"/>
        </w:rPr>
        <w:t>【品质项】</w:t>
      </w:r>
      <w:r>
        <w:rPr>
          <w:rFonts w:hint="eastAsia"/>
          <w:bCs/>
        </w:rPr>
        <w:t>配套幼儿园等教育类建筑应与住宅区出入口分开，应设有足够的缓冲空间，并设置</w:t>
      </w:r>
      <w:r>
        <w:t>通学路径</w:t>
      </w:r>
      <w:r>
        <w:rPr>
          <w:rFonts w:hint="eastAsia"/>
          <w:bCs/>
        </w:rPr>
        <w:t>。</w:t>
      </w:r>
    </w:p>
    <w:p w14:paraId="10695666"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高品质住宅小区应设置老年服务站或日间照料中心，并应设置独立出入口，功能应涵盖餐厅或提供膳食供应的场地和活动、棋牌场地。</w:t>
      </w:r>
    </w:p>
    <w:p w14:paraId="3424325D"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rFonts w:hint="eastAsia"/>
          <w:bCs/>
        </w:rPr>
        <w:t>高品质住宅小区各类配套服务设施出入口有高差处应设置轮椅坡道及助力扶手。</w:t>
      </w:r>
    </w:p>
    <w:p w14:paraId="6BACF32C"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bCs/>
        </w:rPr>
        <w:t>老年人服务站、日间照料中心等老年人活动集中的配套设施内应设置救助呼叫装置。幼儿园、老年人服务站或日间照料中心和其他特殊功能要求的配套建筑的散热器必须暗装或加防护罩。</w:t>
      </w:r>
    </w:p>
    <w:p w14:paraId="64F9D392"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住宅小区内应设有卫生所或治疗保</w:t>
      </w:r>
      <w:r>
        <w:rPr>
          <w:rFonts w:hint="eastAsia"/>
          <w:bCs/>
        </w:rPr>
        <w:t>健卫生室等医疗服务场所或</w:t>
      </w:r>
      <w:r>
        <w:rPr>
          <w:rFonts w:hint="eastAsia"/>
        </w:rPr>
        <w:t>保健康复用房</w:t>
      </w:r>
      <w:r>
        <w:rPr>
          <w:rFonts w:hint="eastAsia"/>
          <w:bCs/>
        </w:rPr>
        <w:t>满足老年人日常需求。</w:t>
      </w:r>
    </w:p>
    <w:p w14:paraId="5F367A27" w14:textId="77777777" w:rsidR="00622EE7" w:rsidRDefault="00E60909">
      <w:pPr>
        <w:pStyle w:val="1"/>
      </w:pPr>
      <w:bookmarkStart w:id="31" w:name="_Toc182841348"/>
      <w:r>
        <w:lastRenderedPageBreak/>
        <w:t xml:space="preserve">6 </w:t>
      </w:r>
      <w:r>
        <w:rPr>
          <w:rFonts w:hint="eastAsia"/>
        </w:rPr>
        <w:t xml:space="preserve"> </w:t>
      </w:r>
      <w:r>
        <w:rPr>
          <w:rFonts w:hint="eastAsia"/>
        </w:rPr>
        <w:t>建筑设计</w:t>
      </w:r>
      <w:bookmarkEnd w:id="31"/>
    </w:p>
    <w:p w14:paraId="47F91C82" w14:textId="77777777" w:rsidR="00622EE7" w:rsidRDefault="00E60909">
      <w:pPr>
        <w:spacing w:beforeLines="50" w:before="163" w:afterLines="50" w:after="163" w:line="360" w:lineRule="auto"/>
        <w:jc w:val="center"/>
        <w:outlineLvl w:val="1"/>
        <w:rPr>
          <w:rFonts w:ascii="Times New Roman" w:eastAsia="黑体" w:hAnsi="Times New Roman"/>
        </w:rPr>
      </w:pPr>
      <w:bookmarkStart w:id="32" w:name="_Toc182841349"/>
      <w:r>
        <w:rPr>
          <w:rFonts w:ascii="Times New Roman" w:eastAsia="黑体" w:hAnsi="Times New Roman"/>
        </w:rPr>
        <w:t xml:space="preserve">6.1 </w:t>
      </w:r>
      <w:r>
        <w:rPr>
          <w:rFonts w:ascii="Times New Roman" w:eastAsia="黑体" w:hAnsi="Times New Roman" w:hint="eastAsia"/>
        </w:rPr>
        <w:t>建筑外观</w:t>
      </w:r>
      <w:bookmarkEnd w:id="32"/>
    </w:p>
    <w:p w14:paraId="3AC7881C"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rPr>
          <w:rFonts w:hint="eastAsia"/>
        </w:rPr>
        <w:t>建筑形式应美观大方，具有鲜明居住建筑特征，风格、材质、色彩比例应与城市整体风貌、周边环境相协调。</w:t>
      </w:r>
    </w:p>
    <w:p w14:paraId="13BD6EB2"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rPr>
          <w:rFonts w:hint="eastAsia"/>
        </w:rPr>
        <w:t>住宅建筑一层大堂、</w:t>
      </w:r>
      <w:r>
        <w:t>层间线脚、挑檐、壁柱</w:t>
      </w:r>
      <w:r>
        <w:rPr>
          <w:rFonts w:hint="eastAsia"/>
        </w:rPr>
        <w:t>和</w:t>
      </w:r>
      <w:r>
        <w:t>等造型构件对住宅建筑造成自遮挡时，不应降低住宅的日照标准。</w:t>
      </w:r>
    </w:p>
    <w:p w14:paraId="654C51F1"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t>住宅建筑立面不应有影响美观的外露管线，或应采取隐蔽在外墙阴角、喷涂等美化措施。</w:t>
      </w:r>
    </w:p>
    <w:p w14:paraId="3BF07BFE" w14:textId="77777777" w:rsidR="00622EE7" w:rsidRDefault="00E60909">
      <w:pPr>
        <w:pStyle w:val="af3"/>
        <w:numPr>
          <w:ilvl w:val="0"/>
          <w:numId w:val="12"/>
        </w:numPr>
        <w:ind w:left="0" w:firstLineChars="0" w:firstLine="0"/>
        <w:contextualSpacing/>
      </w:pPr>
      <w:r>
        <w:rPr>
          <w:rFonts w:ascii="楷体" w:eastAsia="楷体" w:hAnsi="楷体" w:hint="eastAsia"/>
        </w:rPr>
        <w:t>【品质项】</w:t>
      </w:r>
      <w:r>
        <w:rPr>
          <w:rFonts w:hint="eastAsia"/>
        </w:rPr>
        <w:t>住宅</w:t>
      </w:r>
      <w:r>
        <w:t>立面比例</w:t>
      </w:r>
      <w:r>
        <w:rPr>
          <w:rFonts w:hint="eastAsia"/>
        </w:rPr>
        <w:t>应</w:t>
      </w:r>
      <w:r>
        <w:t>协调</w:t>
      </w:r>
      <w:r>
        <w:rPr>
          <w:rFonts w:hint="eastAsia"/>
        </w:rPr>
        <w:t>，应采用</w:t>
      </w:r>
      <w:r>
        <w:t>耐久性强、富有质感的材料</w:t>
      </w:r>
      <w:r>
        <w:rPr>
          <w:rFonts w:hint="eastAsia"/>
        </w:rPr>
        <w:t>。</w:t>
      </w:r>
    </w:p>
    <w:p w14:paraId="13D19944" w14:textId="77777777" w:rsidR="00622EE7" w:rsidRDefault="00E60909">
      <w:pPr>
        <w:pStyle w:val="af3"/>
        <w:numPr>
          <w:ilvl w:val="0"/>
          <w:numId w:val="12"/>
        </w:numPr>
        <w:ind w:left="0" w:firstLineChars="0" w:firstLine="0"/>
        <w:contextualSpacing/>
      </w:pPr>
      <w:r>
        <w:rPr>
          <w:rFonts w:ascii="楷体" w:eastAsia="楷体" w:hAnsi="楷体" w:hint="eastAsia"/>
        </w:rPr>
        <w:t>【提升项】</w:t>
      </w:r>
      <w:r>
        <w:rPr>
          <w:rFonts w:hint="eastAsia"/>
        </w:rPr>
        <w:t>有条件的项目宜采用</w:t>
      </w:r>
      <w:r>
        <w:t>石材、陶板、金属板</w:t>
      </w:r>
      <w:r>
        <w:rPr>
          <w:rFonts w:hint="eastAsia"/>
        </w:rPr>
        <w:t>等耐久性强的立面材料，且应安装牢固。</w:t>
      </w:r>
    </w:p>
    <w:p w14:paraId="6AF17EF2" w14:textId="77777777" w:rsidR="00622EE7" w:rsidRDefault="00E60909">
      <w:pPr>
        <w:pStyle w:val="af3"/>
        <w:numPr>
          <w:ilvl w:val="0"/>
          <w:numId w:val="12"/>
        </w:numPr>
        <w:ind w:left="0" w:firstLineChars="0" w:firstLine="0"/>
        <w:contextualSpacing/>
      </w:pPr>
      <w:r>
        <w:rPr>
          <w:rFonts w:ascii="楷体" w:eastAsia="楷体" w:hAnsi="楷体" w:hint="eastAsia"/>
        </w:rPr>
        <w:t>【品质项】</w:t>
      </w:r>
      <w:r>
        <w:rPr>
          <w:rFonts w:hint="eastAsia"/>
        </w:rPr>
        <w:t>住宅</w:t>
      </w:r>
      <w:r>
        <w:t>第五立面（屋顶）设计</w:t>
      </w:r>
      <w:r>
        <w:rPr>
          <w:rFonts w:hint="eastAsia"/>
        </w:rPr>
        <w:t>应</w:t>
      </w:r>
      <w:r>
        <w:t>合理、美观。</w:t>
      </w:r>
      <w:r>
        <w:rPr>
          <w:rFonts w:hint="eastAsia"/>
        </w:rPr>
        <w:t>当设置光伏组件时，光伏组件不得降低建筑的日照标准。</w:t>
      </w:r>
    </w:p>
    <w:p w14:paraId="4DA0016D"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rPr>
          <w:rFonts w:hint="eastAsia"/>
        </w:rPr>
        <w:t>单元入口应有设计感，材质搭配应合理、与小区道路衔接顺畅，</w:t>
      </w:r>
      <w:r>
        <w:t>单元入口应设置无障碍坡道</w:t>
      </w:r>
      <w:r>
        <w:rPr>
          <w:rFonts w:hint="eastAsia"/>
        </w:rPr>
        <w:t>。</w:t>
      </w:r>
    </w:p>
    <w:p w14:paraId="0E6381A6" w14:textId="77777777" w:rsidR="00622EE7" w:rsidRDefault="00E60909">
      <w:pPr>
        <w:pStyle w:val="af3"/>
        <w:numPr>
          <w:ilvl w:val="0"/>
          <w:numId w:val="12"/>
        </w:numPr>
        <w:ind w:left="0" w:firstLineChars="0" w:firstLine="0"/>
        <w:contextualSpacing/>
      </w:pPr>
      <w:r>
        <w:rPr>
          <w:rFonts w:ascii="楷体" w:eastAsia="楷体" w:hAnsi="楷体" w:hint="eastAsia"/>
        </w:rPr>
        <w:t>【品质项】</w:t>
      </w:r>
      <w:r>
        <w:rPr>
          <w:rFonts w:hint="eastAsia"/>
        </w:rPr>
        <w:t>单元</w:t>
      </w:r>
      <w:r>
        <w:t>出入口</w:t>
      </w:r>
      <w:r>
        <w:rPr>
          <w:rFonts w:hint="eastAsia"/>
        </w:rPr>
        <w:t>应</w:t>
      </w:r>
      <w:r>
        <w:t>均设外墙饰面、门窗玻璃意外脱落的防护措施，当采用雨棚或挑檐时，出挑宽度</w:t>
      </w:r>
      <w:r>
        <w:rPr>
          <w:rFonts w:hint="eastAsia"/>
        </w:rPr>
        <w:t>应≥</w:t>
      </w:r>
      <w:r>
        <w:t>1m</w:t>
      </w:r>
      <w:r>
        <w:rPr>
          <w:rFonts w:hint="eastAsia"/>
        </w:rPr>
        <w:t>。</w:t>
      </w:r>
    </w:p>
    <w:p w14:paraId="1A7188FC" w14:textId="77777777" w:rsidR="00622EE7" w:rsidRDefault="00E60909">
      <w:pPr>
        <w:spacing w:beforeLines="50" w:before="163" w:afterLines="50" w:after="163" w:line="360" w:lineRule="auto"/>
        <w:jc w:val="center"/>
        <w:outlineLvl w:val="1"/>
        <w:rPr>
          <w:rFonts w:ascii="Times New Roman" w:eastAsia="黑体" w:hAnsi="Times New Roman"/>
        </w:rPr>
      </w:pPr>
      <w:bookmarkStart w:id="33" w:name="_Toc182841350"/>
      <w:r>
        <w:rPr>
          <w:rFonts w:ascii="Times New Roman" w:eastAsia="黑体" w:hAnsi="Times New Roman"/>
        </w:rPr>
        <w:t xml:space="preserve">6.2 </w:t>
      </w:r>
      <w:r>
        <w:rPr>
          <w:rFonts w:ascii="Times New Roman" w:eastAsia="黑体" w:hAnsi="Times New Roman" w:hint="eastAsia"/>
        </w:rPr>
        <w:t>公共空间</w:t>
      </w:r>
      <w:bookmarkEnd w:id="33"/>
    </w:p>
    <w:p w14:paraId="10A0F08F" w14:textId="77777777" w:rsidR="00622EE7" w:rsidRDefault="00E60909">
      <w:pPr>
        <w:spacing w:beforeLines="50" w:before="163" w:afterLines="50" w:after="163" w:line="360" w:lineRule="auto"/>
        <w:jc w:val="center"/>
        <w:outlineLvl w:val="2"/>
        <w:rPr>
          <w:rFonts w:ascii="宋体" w:hAnsi="宋体"/>
        </w:rPr>
      </w:pPr>
      <w:bookmarkStart w:id="34" w:name="_Toc182841351"/>
      <w:r>
        <w:rPr>
          <w:rFonts w:ascii="宋体" w:hAnsi="宋体" w:hint="eastAsia"/>
        </w:rPr>
        <w:t>Ⅰ</w:t>
      </w:r>
      <w:r>
        <w:rPr>
          <w:rFonts w:ascii="宋体" w:hAnsi="宋体"/>
        </w:rPr>
        <w:t xml:space="preserve"> </w:t>
      </w:r>
      <w:r>
        <w:rPr>
          <w:rFonts w:ascii="宋体" w:hAnsi="宋体" w:hint="eastAsia"/>
        </w:rPr>
        <w:t>地上部分</w:t>
      </w:r>
      <w:bookmarkEnd w:id="34"/>
    </w:p>
    <w:p w14:paraId="09395C98" w14:textId="77777777" w:rsidR="00622EE7" w:rsidRDefault="00E60909">
      <w:pPr>
        <w:pStyle w:val="af8"/>
        <w:numPr>
          <w:ilvl w:val="0"/>
          <w:numId w:val="13"/>
        </w:numPr>
        <w:ind w:left="0" w:firstLine="0"/>
        <w:contextualSpacing/>
      </w:pPr>
      <w:r>
        <w:rPr>
          <w:rFonts w:ascii="楷体" w:eastAsia="楷体" w:hAnsi="楷体" w:hint="eastAsia"/>
        </w:rPr>
        <w:t>【基础项】</w:t>
      </w:r>
      <w:r>
        <w:rPr>
          <w:rFonts w:hint="eastAsia"/>
        </w:rPr>
        <w:t>住宅建筑的走廊、疏散通道等通行空间应满足紧急疏散、应急救护等要求，且应保持畅通，安全疏散距离、安全出口数量与位置、疏散楼梯设置等，应满足现行国家标准《建筑设计防火规范》</w:t>
      </w:r>
      <w:r>
        <w:t>GB 50016</w:t>
      </w:r>
      <w:r>
        <w:t>和《建筑防火通用规范》</w:t>
      </w:r>
      <w:r>
        <w:t>GB 55037</w:t>
      </w:r>
      <w:r>
        <w:t>的有关规定。</w:t>
      </w:r>
    </w:p>
    <w:p w14:paraId="78A1E0FF" w14:textId="77777777" w:rsidR="00622EE7" w:rsidRDefault="00E60909">
      <w:pPr>
        <w:pStyle w:val="af8"/>
        <w:numPr>
          <w:ilvl w:val="0"/>
          <w:numId w:val="13"/>
        </w:numPr>
        <w:ind w:left="0" w:firstLine="0"/>
        <w:contextualSpacing/>
      </w:pPr>
      <w:r>
        <w:rPr>
          <w:rFonts w:ascii="楷体" w:eastAsia="楷体" w:hAnsi="楷体" w:hint="eastAsia"/>
        </w:rPr>
        <w:t>【基础项】</w:t>
      </w:r>
      <w:r>
        <w:rPr>
          <w:rFonts w:hint="eastAsia"/>
        </w:rPr>
        <w:t>住宅建筑内应设置人行导向标识、紧急出口标志等安全防护的警示和引导标识系统，楼栋、楼层、门牌号标识应明确清晰。</w:t>
      </w:r>
    </w:p>
    <w:p w14:paraId="75419629" w14:textId="77777777" w:rsidR="00622EE7" w:rsidRDefault="00E60909">
      <w:pPr>
        <w:pStyle w:val="af8"/>
        <w:numPr>
          <w:ilvl w:val="0"/>
          <w:numId w:val="13"/>
        </w:numPr>
        <w:ind w:left="0" w:firstLine="0"/>
        <w:contextualSpacing/>
      </w:pPr>
      <w:r>
        <w:rPr>
          <w:rFonts w:ascii="楷体" w:eastAsia="楷体" w:hAnsi="楷体" w:hint="eastAsia"/>
        </w:rPr>
        <w:t>【基础项】</w:t>
      </w:r>
      <w:r>
        <w:t>高品质住宅小区同层住户之间应降低干扰。当户门平行布置时，</w:t>
      </w:r>
      <w:r>
        <w:lastRenderedPageBreak/>
        <w:t>户门中点间距不应小于</w:t>
      </w:r>
      <w:r>
        <w:t>2m</w:t>
      </w:r>
      <w:r>
        <w:t>；户门垂直布置时，门前</w:t>
      </w:r>
      <w:r>
        <w:t>1.5m</w:t>
      </w:r>
      <w:r>
        <w:t>范围内不应重叠</w:t>
      </w:r>
      <w:r>
        <w:rPr>
          <w:rFonts w:hint="eastAsia"/>
        </w:rPr>
        <w:t>（图</w:t>
      </w:r>
      <w:r>
        <w:t>6.2.3</w:t>
      </w:r>
      <w:r>
        <w:rPr>
          <w:rFonts w:hint="eastAsia"/>
        </w:rPr>
        <w:t>）</w:t>
      </w:r>
      <w:r>
        <w:t>。</w:t>
      </w:r>
    </w:p>
    <w:p w14:paraId="702AA917" w14:textId="77777777" w:rsidR="00622EE7" w:rsidRDefault="00E60909">
      <w:pPr>
        <w:pStyle w:val="af3"/>
        <w:ind w:firstLineChars="0" w:firstLine="0"/>
        <w:jc w:val="center"/>
      </w:pPr>
      <w:r>
        <w:rPr>
          <w:noProof/>
        </w:rPr>
        <w:drawing>
          <wp:inline distT="0" distB="0" distL="0" distR="0" wp14:anchorId="3079D1AA" wp14:editId="4C6D2F70">
            <wp:extent cx="3239770" cy="14306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3240000" cy="1431025"/>
                    </a:xfrm>
                    <a:prstGeom prst="rect">
                      <a:avLst/>
                    </a:prstGeom>
                  </pic:spPr>
                </pic:pic>
              </a:graphicData>
            </a:graphic>
          </wp:inline>
        </w:drawing>
      </w:r>
    </w:p>
    <w:p w14:paraId="2FA5BD7C" w14:textId="77777777" w:rsidR="00622EE7" w:rsidRDefault="00E60909">
      <w:pPr>
        <w:pStyle w:val="af5"/>
        <w:ind w:left="420"/>
        <w:jc w:val="center"/>
        <w:rPr>
          <w:rFonts w:ascii="宋体" w:eastAsia="宋体" w:hAnsi="宋体"/>
          <w:b/>
          <w:color w:val="auto"/>
          <w:sz w:val="22"/>
        </w:rPr>
      </w:pPr>
      <w:r>
        <w:rPr>
          <w:rFonts w:ascii="Times New Roman" w:eastAsia="宋体" w:hAnsi="Times New Roman"/>
          <w:b/>
          <w:color w:val="auto"/>
          <w:sz w:val="22"/>
        </w:rPr>
        <w:t>图</w:t>
      </w:r>
      <w:r>
        <w:rPr>
          <w:rFonts w:ascii="Times New Roman" w:eastAsia="宋体" w:hAnsi="Times New Roman"/>
          <w:b/>
          <w:color w:val="auto"/>
          <w:sz w:val="22"/>
        </w:rPr>
        <w:t>6.2.3</w:t>
      </w:r>
      <w:r>
        <w:rPr>
          <w:rFonts w:ascii="宋体" w:eastAsia="宋体" w:hAnsi="宋体"/>
          <w:b/>
          <w:color w:val="auto"/>
          <w:sz w:val="22"/>
        </w:rPr>
        <w:t xml:space="preserve">  </w:t>
      </w:r>
      <w:r>
        <w:rPr>
          <w:rFonts w:ascii="宋体" w:eastAsia="宋体" w:hAnsi="宋体"/>
          <w:b/>
          <w:color w:val="auto"/>
          <w:sz w:val="22"/>
        </w:rPr>
        <w:t>同层住户之间降低干扰</w:t>
      </w:r>
    </w:p>
    <w:p w14:paraId="046307B5" w14:textId="77777777" w:rsidR="00622EE7" w:rsidRDefault="00E60909">
      <w:pPr>
        <w:pStyle w:val="af8"/>
        <w:numPr>
          <w:ilvl w:val="0"/>
          <w:numId w:val="13"/>
        </w:numPr>
        <w:ind w:left="0" w:firstLine="0"/>
        <w:contextualSpacing/>
      </w:pPr>
      <w:r>
        <w:rPr>
          <w:rFonts w:ascii="楷体" w:eastAsia="楷体" w:hAnsi="楷体" w:hint="eastAsia"/>
        </w:rPr>
        <w:t>【基础项】</w:t>
      </w:r>
      <w:r>
        <w:rPr>
          <w:rFonts w:hint="eastAsia"/>
        </w:rPr>
        <w:t>入户层在</w:t>
      </w:r>
      <w:r>
        <w:t>4</w:t>
      </w:r>
      <w:r>
        <w:t>层及以上</w:t>
      </w:r>
      <w:r>
        <w:rPr>
          <w:rFonts w:hint="eastAsia"/>
        </w:rPr>
        <w:t>，或住户入口层楼面距室外设计地面的高度超过</w:t>
      </w:r>
      <w:r>
        <w:t>9m</w:t>
      </w:r>
      <w:r>
        <w:t>的住宅应设电梯，且电梯应通达地下车库各层。</w:t>
      </w:r>
    </w:p>
    <w:p w14:paraId="662B4D12" w14:textId="77777777" w:rsidR="00622EE7" w:rsidRDefault="00E60909">
      <w:pPr>
        <w:pStyle w:val="af8"/>
        <w:numPr>
          <w:ilvl w:val="0"/>
          <w:numId w:val="13"/>
        </w:numPr>
        <w:ind w:left="0" w:firstLine="0"/>
        <w:contextualSpacing/>
      </w:pPr>
      <w:r>
        <w:rPr>
          <w:rFonts w:ascii="楷体" w:eastAsia="楷体" w:hAnsi="楷体" w:hint="eastAsia"/>
        </w:rPr>
        <w:t>【品质项】</w:t>
      </w:r>
      <w:r>
        <w:t>住宅建筑电梯的数量</w:t>
      </w:r>
      <w:r>
        <w:rPr>
          <w:rFonts w:hint="eastAsia"/>
        </w:rPr>
        <w:t>应</w:t>
      </w:r>
      <w:r>
        <w:t>达到平均一梯两户</w:t>
      </w:r>
      <w:r>
        <w:rPr>
          <w:rFonts w:hint="eastAsia"/>
        </w:rPr>
        <w:t>或两梯四户。</w:t>
      </w:r>
      <w:r>
        <w:rPr>
          <w:rFonts w:ascii="宋体" w:hAnsi="宋体" w:hint="eastAsia"/>
        </w:rPr>
        <w:t>应实现从地下停车库乘坐电梯到达所在楼层。</w:t>
      </w:r>
    </w:p>
    <w:p w14:paraId="26388CB9" w14:textId="77777777" w:rsidR="00622EE7" w:rsidRDefault="00E60909">
      <w:pPr>
        <w:pStyle w:val="af8"/>
        <w:numPr>
          <w:ilvl w:val="0"/>
          <w:numId w:val="13"/>
        </w:numPr>
        <w:ind w:left="0" w:firstLine="0"/>
        <w:contextualSpacing/>
      </w:pPr>
      <w:r>
        <w:rPr>
          <w:rFonts w:ascii="楷体" w:eastAsia="楷体" w:hAnsi="楷体" w:hint="eastAsia"/>
        </w:rPr>
        <w:t>【提升项】</w:t>
      </w:r>
      <w:r>
        <w:t>入户层在</w:t>
      </w:r>
      <w:r>
        <w:t>2</w:t>
      </w:r>
      <w:r>
        <w:t>层及以上的住宅</w:t>
      </w:r>
      <w:r>
        <w:rPr>
          <w:rFonts w:hint="eastAsia"/>
        </w:rPr>
        <w:t>宜</w:t>
      </w:r>
      <w:r>
        <w:t>设电梯；电梯</w:t>
      </w:r>
      <w:r>
        <w:rPr>
          <w:rFonts w:hint="eastAsia"/>
        </w:rPr>
        <w:t>宜</w:t>
      </w:r>
      <w:r>
        <w:t>可容纳担架且满足无障碍设计的要求</w:t>
      </w:r>
      <w:r>
        <w:rPr>
          <w:rFonts w:hint="eastAsia"/>
        </w:rPr>
        <w:t>，有条件时，电梯</w:t>
      </w:r>
      <w:proofErr w:type="gramStart"/>
      <w:r>
        <w:rPr>
          <w:rFonts w:hint="eastAsia"/>
        </w:rPr>
        <w:t>厅宜设置</w:t>
      </w:r>
      <w:proofErr w:type="gramEnd"/>
      <w:r>
        <w:rPr>
          <w:rFonts w:hint="eastAsia"/>
        </w:rPr>
        <w:t>外窗。</w:t>
      </w:r>
    </w:p>
    <w:p w14:paraId="627B5F3C" w14:textId="77777777" w:rsidR="00622EE7" w:rsidRDefault="00E60909">
      <w:pPr>
        <w:pStyle w:val="af8"/>
        <w:numPr>
          <w:ilvl w:val="0"/>
          <w:numId w:val="13"/>
        </w:numPr>
        <w:ind w:left="0" w:firstLine="0"/>
        <w:contextualSpacing/>
      </w:pPr>
      <w:r>
        <w:rPr>
          <w:rFonts w:ascii="楷体" w:eastAsia="楷体" w:hAnsi="楷体" w:hint="eastAsia"/>
        </w:rPr>
        <w:t>【品质项】</w:t>
      </w:r>
      <w:r>
        <w:rPr>
          <w:rFonts w:hint="eastAsia"/>
        </w:rPr>
        <w:t>住宅公共空间应充分利用天然采光、自然通风，单元入口大堂（门厅）应有自然采光。</w:t>
      </w:r>
      <w:r>
        <w:t>兼具有公共活动功能的单元</w:t>
      </w:r>
      <w:r>
        <w:rPr>
          <w:rFonts w:hint="eastAsia"/>
        </w:rPr>
        <w:t>门厅</w:t>
      </w:r>
      <w:r>
        <w:t>冬季</w:t>
      </w:r>
      <w:r>
        <w:rPr>
          <w:rFonts w:hint="eastAsia"/>
        </w:rPr>
        <w:t>应有</w:t>
      </w:r>
      <w:r>
        <w:t>日照</w:t>
      </w:r>
      <w:r>
        <w:rPr>
          <w:rFonts w:hint="eastAsia"/>
        </w:rPr>
        <w:t>。</w:t>
      </w:r>
    </w:p>
    <w:p w14:paraId="32016C52" w14:textId="77777777" w:rsidR="00622EE7" w:rsidRDefault="00E60909">
      <w:pPr>
        <w:pStyle w:val="af8"/>
        <w:numPr>
          <w:ilvl w:val="0"/>
          <w:numId w:val="13"/>
        </w:numPr>
        <w:ind w:left="0" w:firstLine="0"/>
        <w:contextualSpacing/>
      </w:pPr>
      <w:r>
        <w:rPr>
          <w:rFonts w:ascii="楷体" w:eastAsia="楷体" w:hAnsi="楷体" w:hint="eastAsia"/>
        </w:rPr>
        <w:t>【提升项】</w:t>
      </w:r>
      <w:proofErr w:type="gramStart"/>
      <w:r>
        <w:rPr>
          <w:rFonts w:hint="eastAsia"/>
        </w:rPr>
        <w:t>应从住宅</w:t>
      </w:r>
      <w:proofErr w:type="gramEnd"/>
      <w:r>
        <w:rPr>
          <w:rFonts w:hint="eastAsia"/>
        </w:rPr>
        <w:t>的形象定位、建筑结构等方面的条件决定单元大堂（门厅）的整体风格和效果，营造宽敞、舒适、轻松的气氛，单元入口大堂（门厅）的层高宜≥</w:t>
      </w:r>
      <w:r>
        <w:t>3.60</w:t>
      </w:r>
      <w:r>
        <w:rPr>
          <w:rFonts w:hint="eastAsia"/>
        </w:rPr>
        <w:t>m</w:t>
      </w:r>
      <w:r>
        <w:rPr>
          <w:rFonts w:hint="eastAsia"/>
        </w:rPr>
        <w:t>，且单元门高度宜≥</w:t>
      </w:r>
      <w:r>
        <w:rPr>
          <w:rFonts w:hint="eastAsia"/>
        </w:rPr>
        <w:t>2</w:t>
      </w:r>
      <w:r>
        <w:t>.30</w:t>
      </w:r>
      <w:r>
        <w:rPr>
          <w:rFonts w:hint="eastAsia"/>
        </w:rPr>
        <w:t>m</w:t>
      </w:r>
      <w:r>
        <w:rPr>
          <w:rFonts w:hint="eastAsia"/>
        </w:rPr>
        <w:t>、宽度宜≥</w:t>
      </w:r>
      <w:r>
        <w:t>1.80</w:t>
      </w:r>
      <w:r>
        <w:rPr>
          <w:rFonts w:hint="eastAsia"/>
        </w:rPr>
        <w:t>m</w:t>
      </w:r>
      <w:r>
        <w:rPr>
          <w:rFonts w:hint="eastAsia"/>
        </w:rPr>
        <w:t>。</w:t>
      </w:r>
    </w:p>
    <w:p w14:paraId="7BA5525D" w14:textId="77777777" w:rsidR="00622EE7" w:rsidRDefault="00E60909">
      <w:pPr>
        <w:spacing w:beforeLines="50" w:before="163" w:afterLines="50" w:after="163" w:line="360" w:lineRule="auto"/>
        <w:jc w:val="center"/>
        <w:outlineLvl w:val="2"/>
        <w:rPr>
          <w:rFonts w:ascii="宋体" w:hAnsi="宋体"/>
        </w:rPr>
      </w:pPr>
      <w:bookmarkStart w:id="35" w:name="_Toc182841352"/>
      <w:r>
        <w:rPr>
          <w:rFonts w:ascii="宋体" w:hAnsi="宋体" w:hint="eastAsia"/>
        </w:rPr>
        <w:t>Ⅱ</w:t>
      </w:r>
      <w:r>
        <w:rPr>
          <w:rFonts w:ascii="宋体" w:hAnsi="宋体"/>
        </w:rPr>
        <w:t xml:space="preserve"> </w:t>
      </w:r>
      <w:r>
        <w:rPr>
          <w:rFonts w:ascii="宋体" w:hAnsi="宋体" w:hint="eastAsia"/>
        </w:rPr>
        <w:t>地下部分</w:t>
      </w:r>
      <w:bookmarkEnd w:id="35"/>
    </w:p>
    <w:p w14:paraId="1055AC0E" w14:textId="77777777" w:rsidR="00622EE7" w:rsidRDefault="00E60909">
      <w:pPr>
        <w:pStyle w:val="af3"/>
        <w:numPr>
          <w:ilvl w:val="0"/>
          <w:numId w:val="13"/>
        </w:numPr>
        <w:ind w:left="0" w:firstLineChars="0" w:firstLine="0"/>
        <w:contextualSpacing/>
      </w:pPr>
      <w:r>
        <w:rPr>
          <w:rFonts w:ascii="楷体" w:eastAsia="楷体" w:hAnsi="楷体" w:hint="eastAsia"/>
        </w:rPr>
        <w:t>【基础项】</w:t>
      </w:r>
      <w:r>
        <w:rPr>
          <w:rFonts w:hint="eastAsia"/>
        </w:rPr>
        <w:t>地下室机动车坡道、电梯、楼梯和有噪声、振动、电磁干扰等的设备与管井不应毗邻居住空间布置。设备用房不应对住宅居住空间造成影响。生活水泵房不毗邻电气用房或在其上方，不毗邻居住用房或在其下层；自备发电机房等设备用房设置在地下一层时，不应设置在首层住宅的正投影下方；消防系统增压稳压设备不应设置在住宅套内空间直接上层屋面。</w:t>
      </w:r>
    </w:p>
    <w:p w14:paraId="41B648B6" w14:textId="77777777" w:rsidR="00622EE7" w:rsidRDefault="00E60909">
      <w:pPr>
        <w:pStyle w:val="af3"/>
        <w:numPr>
          <w:ilvl w:val="0"/>
          <w:numId w:val="13"/>
        </w:numPr>
        <w:ind w:left="0" w:firstLineChars="0" w:firstLine="0"/>
        <w:contextualSpacing/>
      </w:pPr>
      <w:r>
        <w:rPr>
          <w:rFonts w:ascii="楷体" w:eastAsia="楷体" w:hAnsi="楷体" w:hint="eastAsia"/>
        </w:rPr>
        <w:t>【基础项】</w:t>
      </w:r>
      <w:r>
        <w:rPr>
          <w:rFonts w:ascii="宋体" w:hAnsi="宋体" w:hint="eastAsia"/>
        </w:rPr>
        <w:t>机动车停车位尺寸应合理，停车位周边的构件、疏散通道、人防门和防火门、防火卷帘、结构柱、消火栓、水管阀门等不应挤占停车位空间，并不</w:t>
      </w:r>
      <w:proofErr w:type="gramStart"/>
      <w:r>
        <w:rPr>
          <w:rFonts w:ascii="宋体" w:hAnsi="宋体" w:hint="eastAsia"/>
        </w:rPr>
        <w:t>应影响</w:t>
      </w:r>
      <w:proofErr w:type="gramEnd"/>
      <w:r>
        <w:rPr>
          <w:rFonts w:ascii="宋体" w:hAnsi="宋体" w:hint="eastAsia"/>
        </w:rPr>
        <w:t>车辆开门空间。</w:t>
      </w:r>
    </w:p>
    <w:p w14:paraId="09104DBB" w14:textId="77777777" w:rsidR="00622EE7" w:rsidRDefault="00E60909">
      <w:pPr>
        <w:pStyle w:val="af3"/>
        <w:numPr>
          <w:ilvl w:val="0"/>
          <w:numId w:val="13"/>
        </w:numPr>
        <w:ind w:left="0" w:firstLineChars="0" w:firstLine="0"/>
        <w:contextualSpacing/>
      </w:pPr>
      <w:r>
        <w:rPr>
          <w:rFonts w:ascii="楷体" w:eastAsia="楷体" w:hAnsi="楷体" w:hint="eastAsia"/>
        </w:rPr>
        <w:t>【品质项】</w:t>
      </w:r>
      <w:r>
        <w:rPr>
          <w:rFonts w:hint="eastAsia"/>
        </w:rPr>
        <w:t>应有至少</w:t>
      </w:r>
      <w:r>
        <w:t>50%</w:t>
      </w:r>
      <w:r>
        <w:t>的车位净宽度</w:t>
      </w:r>
      <w:r>
        <w:t>不低于</w:t>
      </w:r>
      <w:r>
        <w:t>2.6 m</w:t>
      </w:r>
      <w:r>
        <w:rPr>
          <w:rFonts w:hint="eastAsia"/>
        </w:rPr>
        <w:t>。</w:t>
      </w:r>
    </w:p>
    <w:p w14:paraId="5182A9B8" w14:textId="77777777" w:rsidR="00622EE7" w:rsidRDefault="00E60909">
      <w:pPr>
        <w:pStyle w:val="af3"/>
        <w:numPr>
          <w:ilvl w:val="0"/>
          <w:numId w:val="13"/>
        </w:numPr>
        <w:ind w:left="0" w:firstLineChars="0" w:firstLine="0"/>
        <w:contextualSpacing/>
      </w:pPr>
      <w:r>
        <w:rPr>
          <w:rFonts w:ascii="楷体" w:eastAsia="楷体" w:hAnsi="楷体" w:hint="eastAsia"/>
        </w:rPr>
        <w:lastRenderedPageBreak/>
        <w:t>【基础项】</w:t>
      </w:r>
      <w:r>
        <w:rPr>
          <w:rFonts w:hint="eastAsia"/>
        </w:rPr>
        <w:t>应采用标识系统区分地下车库中的停车区、车行区和人行区，应设置交通符号、车位编号、人行道等地面引导标识。在难以确定位置和方向的流线节点上，车行导向标识应增加标识点位以便明示和指引。</w:t>
      </w:r>
    </w:p>
    <w:p w14:paraId="1CB5C6D2" w14:textId="77777777" w:rsidR="00622EE7" w:rsidRDefault="00E60909">
      <w:pPr>
        <w:pStyle w:val="af3"/>
        <w:numPr>
          <w:ilvl w:val="0"/>
          <w:numId w:val="13"/>
        </w:numPr>
        <w:ind w:left="0" w:firstLineChars="0" w:firstLine="0"/>
        <w:contextualSpacing/>
        <w:rPr>
          <w:b/>
        </w:rPr>
      </w:pPr>
      <w:r>
        <w:rPr>
          <w:rFonts w:ascii="楷体" w:eastAsia="楷体" w:hAnsi="楷体" w:hint="eastAsia"/>
        </w:rPr>
        <w:t>【品质项】</w:t>
      </w:r>
      <w:r>
        <w:rPr>
          <w:rFonts w:ascii="宋体" w:hAnsi="宋体" w:hint="eastAsia"/>
        </w:rPr>
        <w:t>应采取措施提升地下车库的无障碍设计水平并按照要求设置无障碍车位。</w:t>
      </w:r>
      <w:r>
        <w:rPr>
          <w:rFonts w:hint="eastAsia"/>
        </w:rPr>
        <w:t>在地下车库坡道附近</w:t>
      </w:r>
      <w:proofErr w:type="gramStart"/>
      <w:r>
        <w:rPr>
          <w:rFonts w:hint="eastAsia"/>
        </w:rPr>
        <w:t>宜设置</w:t>
      </w:r>
      <w:proofErr w:type="gramEnd"/>
      <w:r>
        <w:rPr>
          <w:rFonts w:hint="eastAsia"/>
        </w:rPr>
        <w:t>访客车位，并设置明显的标识。</w:t>
      </w:r>
    </w:p>
    <w:p w14:paraId="04992B01" w14:textId="77777777" w:rsidR="00622EE7" w:rsidRDefault="00E60909">
      <w:pPr>
        <w:pStyle w:val="af3"/>
        <w:numPr>
          <w:ilvl w:val="0"/>
          <w:numId w:val="13"/>
        </w:numPr>
        <w:ind w:left="0" w:firstLineChars="0" w:firstLine="0"/>
        <w:contextualSpacing/>
      </w:pPr>
      <w:r>
        <w:rPr>
          <w:rFonts w:ascii="楷体" w:eastAsia="楷体" w:hAnsi="楷体" w:hint="eastAsia"/>
        </w:rPr>
        <w:t>【品质项】</w:t>
      </w:r>
      <w:r>
        <w:t>地下车库净高</w:t>
      </w:r>
      <w:r>
        <w:rPr>
          <w:rFonts w:hint="eastAsia"/>
        </w:rPr>
        <w:t>应≥</w:t>
      </w:r>
      <w:r>
        <w:t>2.30m</w:t>
      </w:r>
      <w:r>
        <w:t>，且通往地下电梯厅、单元入口的通道净宽</w:t>
      </w:r>
      <w:r>
        <w:rPr>
          <w:rFonts w:hint="eastAsia"/>
        </w:rPr>
        <w:t>应≥</w:t>
      </w:r>
      <w:r>
        <w:t>1.20m</w:t>
      </w:r>
      <w:r>
        <w:t>，吊顶净高</w:t>
      </w:r>
      <w:r>
        <w:rPr>
          <w:rFonts w:hint="eastAsia"/>
        </w:rPr>
        <w:t>应≥</w:t>
      </w:r>
      <w:r>
        <w:t>2.50m</w:t>
      </w:r>
      <w:r>
        <w:t>，</w:t>
      </w:r>
      <w:r>
        <w:rPr>
          <w:rFonts w:hint="eastAsia"/>
        </w:rPr>
        <w:t>提升住户的归家体验。</w:t>
      </w:r>
    </w:p>
    <w:p w14:paraId="03136822" w14:textId="77777777" w:rsidR="00622EE7" w:rsidRDefault="00E60909">
      <w:pPr>
        <w:pStyle w:val="af3"/>
        <w:numPr>
          <w:ilvl w:val="0"/>
          <w:numId w:val="13"/>
        </w:numPr>
        <w:ind w:left="0" w:firstLineChars="0" w:firstLine="0"/>
        <w:contextualSpacing/>
      </w:pPr>
      <w:r>
        <w:rPr>
          <w:rFonts w:ascii="楷体" w:eastAsia="楷体" w:hAnsi="楷体" w:hint="eastAsia"/>
        </w:rPr>
        <w:t>【提升项】</w:t>
      </w:r>
      <w:proofErr w:type="gramStart"/>
      <w:r>
        <w:rPr>
          <w:rFonts w:hint="eastAsia"/>
        </w:rPr>
        <w:t>宜合理</w:t>
      </w:r>
      <w:proofErr w:type="gramEnd"/>
      <w:r>
        <w:t>采用中庭、天井、天窗、</w:t>
      </w:r>
      <w:r>
        <w:t>下沉庭院等措施，改善地下空间的自然采光效果、节省能源。</w:t>
      </w:r>
    </w:p>
    <w:p w14:paraId="1A8E9E9F" w14:textId="77777777" w:rsidR="00622EE7" w:rsidRDefault="00E60909">
      <w:pPr>
        <w:spacing w:beforeLines="50" w:before="163" w:afterLines="50" w:after="163" w:line="360" w:lineRule="auto"/>
        <w:jc w:val="center"/>
        <w:outlineLvl w:val="1"/>
        <w:rPr>
          <w:rFonts w:ascii="Times New Roman" w:eastAsia="黑体" w:hAnsi="Times New Roman"/>
        </w:rPr>
      </w:pPr>
      <w:bookmarkStart w:id="36" w:name="_Toc182841353"/>
      <w:r>
        <w:rPr>
          <w:rFonts w:ascii="Times New Roman" w:eastAsia="黑体" w:hAnsi="Times New Roman"/>
        </w:rPr>
        <w:t xml:space="preserve">6.3 </w:t>
      </w:r>
      <w:r>
        <w:rPr>
          <w:rFonts w:ascii="Times New Roman" w:eastAsia="黑体" w:hAnsi="Times New Roman" w:hint="eastAsia"/>
        </w:rPr>
        <w:t>户型设计</w:t>
      </w:r>
      <w:bookmarkEnd w:id="36"/>
    </w:p>
    <w:p w14:paraId="6C67EB11" w14:textId="77777777" w:rsidR="00622EE7" w:rsidRDefault="00E60909">
      <w:pPr>
        <w:pStyle w:val="af8"/>
        <w:numPr>
          <w:ilvl w:val="0"/>
          <w:numId w:val="14"/>
        </w:numPr>
        <w:ind w:left="0" w:firstLine="0"/>
      </w:pPr>
      <w:r>
        <w:rPr>
          <w:rFonts w:ascii="楷体" w:eastAsia="楷体" w:hAnsi="楷体" w:hint="eastAsia"/>
        </w:rPr>
        <w:t>【基础项】</w:t>
      </w:r>
      <w:r>
        <w:rPr>
          <w:rFonts w:hint="eastAsia"/>
        </w:rPr>
        <w:t>高品质住宅小区应合</w:t>
      </w:r>
      <w:proofErr w:type="gramStart"/>
      <w:r>
        <w:rPr>
          <w:rFonts w:hint="eastAsia"/>
        </w:rPr>
        <w:t>理设计</w:t>
      </w:r>
      <w:proofErr w:type="gramEnd"/>
      <w:r>
        <w:rPr>
          <w:rFonts w:hint="eastAsia"/>
        </w:rPr>
        <w:t>户型，应做到空间层次与序列清晰、尺度恰当，主要居住房间应无视线干扰，起居室（厅）、卧室、书房的采光窗不应朝向</w:t>
      </w:r>
      <w:proofErr w:type="gramStart"/>
      <w:r>
        <w:rPr>
          <w:rFonts w:hint="eastAsia"/>
        </w:rPr>
        <w:t>凹</w:t>
      </w:r>
      <w:proofErr w:type="gramEnd"/>
      <w:r>
        <w:rPr>
          <w:rFonts w:hint="eastAsia"/>
        </w:rPr>
        <w:t>口（图</w:t>
      </w:r>
      <w:r>
        <w:rPr>
          <w:rFonts w:hint="eastAsia"/>
        </w:rPr>
        <w:t>6</w:t>
      </w:r>
      <w:r>
        <w:t>.3.1</w:t>
      </w:r>
      <w:r>
        <w:rPr>
          <w:rFonts w:hint="eastAsia"/>
        </w:rPr>
        <w:t>）、天井。</w:t>
      </w:r>
    </w:p>
    <w:p w14:paraId="69B1C995" w14:textId="77777777" w:rsidR="00622EE7" w:rsidRDefault="00E60909">
      <w:pPr>
        <w:pStyle w:val="af3"/>
        <w:ind w:left="420" w:firstLineChars="0" w:firstLine="0"/>
        <w:jc w:val="center"/>
      </w:pPr>
      <w:r>
        <w:rPr>
          <w:noProof/>
        </w:rPr>
        <w:drawing>
          <wp:inline distT="0" distB="0" distL="0" distR="0" wp14:anchorId="13C1BCDF" wp14:editId="0A77810B">
            <wp:extent cx="3239770" cy="12998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3240000" cy="1300238"/>
                    </a:xfrm>
                    <a:prstGeom prst="rect">
                      <a:avLst/>
                    </a:prstGeom>
                  </pic:spPr>
                </pic:pic>
              </a:graphicData>
            </a:graphic>
          </wp:inline>
        </w:drawing>
      </w:r>
    </w:p>
    <w:p w14:paraId="648F543C" w14:textId="77777777" w:rsidR="00622EE7" w:rsidRDefault="00E60909">
      <w:pPr>
        <w:pStyle w:val="af5"/>
        <w:ind w:left="420"/>
        <w:jc w:val="center"/>
        <w:rPr>
          <w:rFonts w:ascii="Times New Roman" w:eastAsia="宋体" w:hAnsi="Times New Roman"/>
          <w:b/>
          <w:color w:val="auto"/>
          <w:sz w:val="22"/>
        </w:rPr>
      </w:pPr>
      <w:r>
        <w:rPr>
          <w:rFonts w:ascii="Times New Roman" w:eastAsia="宋体" w:hAnsi="Times New Roman"/>
          <w:b/>
          <w:color w:val="auto"/>
          <w:sz w:val="22"/>
        </w:rPr>
        <w:t>图</w:t>
      </w:r>
      <w:r>
        <w:rPr>
          <w:rFonts w:ascii="Times New Roman" w:eastAsia="宋体" w:hAnsi="Times New Roman"/>
          <w:b/>
          <w:color w:val="auto"/>
          <w:sz w:val="22"/>
        </w:rPr>
        <w:t xml:space="preserve">6.3.1  </w:t>
      </w:r>
      <w:proofErr w:type="gramStart"/>
      <w:r>
        <w:rPr>
          <w:rFonts w:ascii="Times New Roman" w:eastAsia="宋体" w:hAnsi="Times New Roman"/>
          <w:b/>
          <w:color w:val="auto"/>
          <w:sz w:val="22"/>
        </w:rPr>
        <w:t>凹口类型</w:t>
      </w:r>
      <w:proofErr w:type="gramEnd"/>
      <w:r>
        <w:rPr>
          <w:rFonts w:ascii="Times New Roman" w:eastAsia="宋体" w:hAnsi="Times New Roman"/>
          <w:b/>
          <w:color w:val="auto"/>
          <w:sz w:val="22"/>
        </w:rPr>
        <w:t>举例</w:t>
      </w:r>
    </w:p>
    <w:p w14:paraId="699F6C58" w14:textId="77777777" w:rsidR="00622EE7" w:rsidRDefault="00E60909">
      <w:pPr>
        <w:pStyle w:val="af8"/>
        <w:numPr>
          <w:ilvl w:val="0"/>
          <w:numId w:val="14"/>
        </w:numPr>
        <w:ind w:left="0" w:firstLine="0"/>
      </w:pPr>
      <w:r>
        <w:rPr>
          <w:rFonts w:ascii="楷体" w:eastAsia="楷体" w:hAnsi="楷体" w:hint="eastAsia"/>
        </w:rPr>
        <w:t>【品质项】</w:t>
      </w:r>
      <w:r>
        <w:rPr>
          <w:rFonts w:hint="eastAsia"/>
        </w:rPr>
        <w:t>高品质住宅小区户型设计应考虑家庭全生命周期的需求，特别是适老、适幼的需求，应采取通用开放、</w:t>
      </w:r>
      <w:r>
        <w:t>可变的使用空间设计</w:t>
      </w:r>
      <w:r>
        <w:rPr>
          <w:rFonts w:hint="eastAsia"/>
        </w:rPr>
        <w:t>，有利于空间的灵活分隔、便于后期改造，有条件时宜采用挑空等空间丰富居住形式。</w:t>
      </w:r>
    </w:p>
    <w:p w14:paraId="240C510D" w14:textId="77777777" w:rsidR="00622EE7" w:rsidRDefault="00E60909">
      <w:pPr>
        <w:pStyle w:val="af8"/>
        <w:numPr>
          <w:ilvl w:val="0"/>
          <w:numId w:val="14"/>
        </w:numPr>
        <w:ind w:left="0" w:firstLine="0"/>
      </w:pPr>
      <w:r>
        <w:rPr>
          <w:rFonts w:ascii="楷体" w:eastAsia="楷体" w:hAnsi="楷体" w:hint="eastAsia"/>
        </w:rPr>
        <w:t>【品质项】</w:t>
      </w:r>
      <w:r>
        <w:rPr>
          <w:rFonts w:hint="eastAsia"/>
        </w:rPr>
        <w:t>高品质住宅小区的层高应合理、舒适，住宅面积＜</w:t>
      </w:r>
      <w:r>
        <w:rPr>
          <w:rFonts w:hint="eastAsia"/>
        </w:rPr>
        <w:t>1</w:t>
      </w:r>
      <w:r>
        <w:t>10m²</w:t>
      </w:r>
      <w:r>
        <w:rPr>
          <w:rFonts w:hint="eastAsia"/>
        </w:rPr>
        <w:t>时，起居室、卧室的净高应≥</w:t>
      </w:r>
      <w:r>
        <w:t>2.8</w:t>
      </w:r>
      <w:r>
        <w:rPr>
          <w:rFonts w:hint="eastAsia"/>
        </w:rPr>
        <w:t>m</w:t>
      </w:r>
      <w:r>
        <w:rPr>
          <w:rFonts w:hint="eastAsia"/>
        </w:rPr>
        <w:t>，且层高应≥</w:t>
      </w:r>
      <w:r>
        <w:rPr>
          <w:rFonts w:hint="eastAsia"/>
        </w:rPr>
        <w:t>3</w:t>
      </w:r>
      <w:r>
        <w:t>.0</w:t>
      </w:r>
      <w:r>
        <w:rPr>
          <w:rFonts w:hint="eastAsia"/>
        </w:rPr>
        <w:t>m</w:t>
      </w:r>
      <w:r>
        <w:rPr>
          <w:rFonts w:hint="eastAsia"/>
        </w:rPr>
        <w:t>；住宅面积≥</w:t>
      </w:r>
      <w:r>
        <w:rPr>
          <w:rFonts w:hint="eastAsia"/>
        </w:rPr>
        <w:t>1</w:t>
      </w:r>
      <w:r>
        <w:t>10</w:t>
      </w:r>
      <w:r>
        <w:rPr>
          <w:rFonts w:hint="eastAsia"/>
        </w:rPr>
        <w:t>m</w:t>
      </w:r>
      <w:r>
        <w:rPr>
          <w:vertAlign w:val="superscript"/>
        </w:rPr>
        <w:t>2</w:t>
      </w:r>
      <w:r>
        <w:rPr>
          <w:rFonts w:hint="eastAsia"/>
        </w:rPr>
        <w:t>时，起居室、卧室的净高应≥</w:t>
      </w:r>
      <w:r>
        <w:t>2.9</w:t>
      </w:r>
      <w:r>
        <w:rPr>
          <w:rFonts w:hint="eastAsia"/>
        </w:rPr>
        <w:t>m</w:t>
      </w:r>
      <w:r>
        <w:rPr>
          <w:rFonts w:hint="eastAsia"/>
        </w:rPr>
        <w:t>，且层高应≥</w:t>
      </w:r>
      <w:r>
        <w:rPr>
          <w:rFonts w:hint="eastAsia"/>
        </w:rPr>
        <w:t>3</w:t>
      </w:r>
      <w:r>
        <w:t>.1</w:t>
      </w:r>
      <w:r>
        <w:rPr>
          <w:rFonts w:hint="eastAsia"/>
        </w:rPr>
        <w:t>m</w:t>
      </w:r>
      <w:r>
        <w:rPr>
          <w:rFonts w:hint="eastAsia"/>
        </w:rPr>
        <w:t>，当住宅设计地暖、管道式新风时应留有安装空间并保证铺设后的净高。</w:t>
      </w:r>
    </w:p>
    <w:p w14:paraId="078E147A" w14:textId="77777777" w:rsidR="00622EE7" w:rsidRDefault="00E60909">
      <w:pPr>
        <w:pStyle w:val="af8"/>
        <w:numPr>
          <w:ilvl w:val="0"/>
          <w:numId w:val="14"/>
        </w:numPr>
        <w:ind w:left="0" w:firstLine="0"/>
      </w:pPr>
      <w:r>
        <w:rPr>
          <w:rFonts w:ascii="楷体" w:eastAsia="楷体" w:hAnsi="楷体" w:hint="eastAsia"/>
        </w:rPr>
        <w:t>【品质项】</w:t>
      </w:r>
      <w:r>
        <w:t>住宅有</w:t>
      </w:r>
      <w:r>
        <w:t>3</w:t>
      </w:r>
      <w:r>
        <w:rPr>
          <w:rFonts w:hint="eastAsia"/>
        </w:rPr>
        <w:t>间</w:t>
      </w:r>
      <w:r>
        <w:t>及以上</w:t>
      </w:r>
      <w:r>
        <w:rPr>
          <w:rFonts w:hint="eastAsia"/>
        </w:rPr>
        <w:t>卧室</w:t>
      </w:r>
      <w:r>
        <w:t>时，户内</w:t>
      </w:r>
      <w:r>
        <w:rPr>
          <w:rFonts w:hint="eastAsia"/>
        </w:rPr>
        <w:t>应</w:t>
      </w:r>
      <w:r>
        <w:t>至少有</w:t>
      </w:r>
      <w:r>
        <w:t>2</w:t>
      </w:r>
      <w:r>
        <w:t>个</w:t>
      </w:r>
      <w:r>
        <w:rPr>
          <w:rFonts w:hint="eastAsia"/>
        </w:rPr>
        <w:t>卧室或起居室</w:t>
      </w:r>
      <w:r>
        <w:t>能满足大寒日日照时数</w:t>
      </w:r>
      <w:r>
        <w:t>3</w:t>
      </w:r>
      <w:r>
        <w:t>小时</w:t>
      </w:r>
      <w:r>
        <w:rPr>
          <w:rFonts w:hint="eastAsia"/>
        </w:rPr>
        <w:t>。</w:t>
      </w:r>
    </w:p>
    <w:p w14:paraId="70B43AFF" w14:textId="77777777" w:rsidR="00622EE7" w:rsidRDefault="00E60909">
      <w:pPr>
        <w:pStyle w:val="af8"/>
        <w:numPr>
          <w:ilvl w:val="0"/>
          <w:numId w:val="14"/>
        </w:numPr>
        <w:ind w:left="0" w:firstLine="0"/>
      </w:pPr>
      <w:r>
        <w:rPr>
          <w:rFonts w:ascii="楷体" w:eastAsia="楷体" w:hAnsi="楷体" w:hint="eastAsia"/>
        </w:rPr>
        <w:lastRenderedPageBreak/>
        <w:t>【品质项】</w:t>
      </w:r>
      <w:r>
        <w:rPr>
          <w:rFonts w:hint="eastAsia"/>
        </w:rPr>
        <w:t>住宅户型应尽可能南北通透，居住空间应通风顺畅。起居室（厅）、卧室、书房</w:t>
      </w:r>
      <w:r>
        <w:t>外窗可开启面积</w:t>
      </w:r>
      <w:r>
        <w:rPr>
          <w:rFonts w:hint="eastAsia"/>
        </w:rPr>
        <w:t>应</w:t>
      </w:r>
      <w:r>
        <w:t>达到该房间地板面积的</w:t>
      </w:r>
      <w:r>
        <w:t>5%</w:t>
      </w:r>
      <w:r>
        <w:rPr>
          <w:rFonts w:hint="eastAsia"/>
        </w:rPr>
        <w:t>。</w:t>
      </w:r>
    </w:p>
    <w:p w14:paraId="4D484F0F" w14:textId="77777777" w:rsidR="00622EE7" w:rsidRDefault="00E60909">
      <w:pPr>
        <w:pStyle w:val="af8"/>
        <w:numPr>
          <w:ilvl w:val="0"/>
          <w:numId w:val="14"/>
        </w:numPr>
        <w:ind w:left="0" w:firstLine="0"/>
      </w:pPr>
      <w:r>
        <w:rPr>
          <w:rFonts w:ascii="楷体" w:eastAsia="楷体" w:hAnsi="楷体" w:hint="eastAsia"/>
        </w:rPr>
        <w:t>【提升项】</w:t>
      </w:r>
      <w:r>
        <w:rPr>
          <w:rFonts w:hint="eastAsia"/>
        </w:rPr>
        <w:t>有条件的项目，起居室（厅）、卧室、书房</w:t>
      </w:r>
      <w:r>
        <w:t>外窗可开启面积</w:t>
      </w:r>
      <w:proofErr w:type="gramStart"/>
      <w:r>
        <w:rPr>
          <w:rFonts w:hint="eastAsia"/>
        </w:rPr>
        <w:t>宜</w:t>
      </w:r>
      <w:r>
        <w:t>达到</w:t>
      </w:r>
      <w:proofErr w:type="gramEnd"/>
      <w:r>
        <w:t>该房间地板面积的</w:t>
      </w:r>
      <w:r>
        <w:t>7%</w:t>
      </w:r>
      <w:r>
        <w:rPr>
          <w:rFonts w:hint="eastAsia"/>
        </w:rPr>
        <w:t>。</w:t>
      </w:r>
    </w:p>
    <w:p w14:paraId="6A0DC731" w14:textId="77777777" w:rsidR="00622EE7" w:rsidRDefault="00E60909">
      <w:pPr>
        <w:pStyle w:val="af8"/>
        <w:numPr>
          <w:ilvl w:val="0"/>
          <w:numId w:val="14"/>
        </w:numPr>
        <w:ind w:left="0" w:firstLine="0"/>
      </w:pPr>
      <w:r>
        <w:rPr>
          <w:rFonts w:ascii="楷体" w:eastAsia="楷体" w:hAnsi="楷体" w:hint="eastAsia"/>
        </w:rPr>
        <w:t>【品质项】</w:t>
      </w:r>
      <w:r>
        <w:t>住宅</w:t>
      </w:r>
      <w:r>
        <w:rPr>
          <w:rFonts w:hint="eastAsia"/>
        </w:rPr>
        <w:t>尺度合理、舒适，两室及以上户型，应至少设置一间</w:t>
      </w:r>
      <w:r>
        <w:rPr>
          <w:rFonts w:hint="eastAsia"/>
        </w:rPr>
        <w:t>1</w:t>
      </w:r>
      <w:r>
        <w:t>0</w:t>
      </w:r>
      <w:r>
        <w:rPr>
          <w:rFonts w:hint="eastAsia"/>
        </w:rPr>
        <w:t>m</w:t>
      </w:r>
      <w:r>
        <w:t>²</w:t>
      </w:r>
      <w:r>
        <w:rPr>
          <w:rFonts w:hint="eastAsia"/>
        </w:rPr>
        <w:t>及以上的卧室或卧室套间；三室及以上户型，应至少设置两间</w:t>
      </w:r>
      <w:r>
        <w:rPr>
          <w:rFonts w:hint="eastAsia"/>
        </w:rPr>
        <w:t>1</w:t>
      </w:r>
      <w:r>
        <w:t>0</w:t>
      </w:r>
      <w:r>
        <w:rPr>
          <w:rFonts w:hint="eastAsia"/>
        </w:rPr>
        <w:t>m</w:t>
      </w:r>
      <w:r>
        <w:t>²</w:t>
      </w:r>
      <w:r>
        <w:rPr>
          <w:rFonts w:hint="eastAsia"/>
        </w:rPr>
        <w:t>及以上的卧室或卧室套间；厨房使用面积应≥</w:t>
      </w:r>
      <w:r>
        <w:rPr>
          <w:rFonts w:hint="eastAsia"/>
        </w:rPr>
        <w:t>6m</w:t>
      </w:r>
      <w:r>
        <w:rPr>
          <w:vertAlign w:val="superscript"/>
        </w:rPr>
        <w:t>2</w:t>
      </w:r>
      <w:r>
        <w:rPr>
          <w:rFonts w:hint="eastAsia"/>
        </w:rPr>
        <w:t>，台面长度应≥</w:t>
      </w:r>
      <w:r>
        <w:t>3.0</w:t>
      </w:r>
      <w:r>
        <w:rPr>
          <w:rFonts w:hint="eastAsia"/>
        </w:rPr>
        <w:t>m</w:t>
      </w:r>
      <w:r>
        <w:rPr>
          <w:rFonts w:hint="eastAsia"/>
        </w:rPr>
        <w:t>。</w:t>
      </w:r>
    </w:p>
    <w:p w14:paraId="2D9F8D5A" w14:textId="77777777" w:rsidR="00622EE7" w:rsidRDefault="00E60909">
      <w:pPr>
        <w:pStyle w:val="af8"/>
        <w:numPr>
          <w:ilvl w:val="0"/>
          <w:numId w:val="14"/>
        </w:numPr>
        <w:ind w:left="0" w:firstLine="0"/>
      </w:pPr>
      <w:r>
        <w:rPr>
          <w:rFonts w:ascii="楷体" w:eastAsia="楷体" w:hAnsi="楷体" w:hint="eastAsia"/>
        </w:rPr>
        <w:t>【品质项】</w:t>
      </w:r>
      <w:r>
        <w:t>住宅有</w:t>
      </w:r>
      <w:r>
        <w:t>3</w:t>
      </w:r>
      <w:r>
        <w:t>个及以上</w:t>
      </w:r>
      <w:r>
        <w:rPr>
          <w:rFonts w:hint="eastAsia"/>
        </w:rPr>
        <w:t>卧室</w:t>
      </w:r>
      <w:r>
        <w:t>时，</w:t>
      </w:r>
      <w:r>
        <w:rPr>
          <w:rFonts w:hint="eastAsia"/>
        </w:rPr>
        <w:t>户内应</w:t>
      </w:r>
      <w:r>
        <w:t>配</w:t>
      </w:r>
      <w:r>
        <w:t>2</w:t>
      </w:r>
      <w:r>
        <w:t>个卫生间</w:t>
      </w:r>
      <w:r>
        <w:rPr>
          <w:rFonts w:hint="eastAsia"/>
        </w:rPr>
        <w:t>。户内只有</w:t>
      </w:r>
      <w:r>
        <w:rPr>
          <w:rFonts w:hint="eastAsia"/>
        </w:rPr>
        <w:t>1</w:t>
      </w:r>
      <w:r>
        <w:rPr>
          <w:rFonts w:hint="eastAsia"/>
        </w:rPr>
        <w:t>个卫生间时，应采用干湿分离的布局方式。</w:t>
      </w:r>
    </w:p>
    <w:p w14:paraId="5CFE7469" w14:textId="77777777" w:rsidR="00622EE7" w:rsidRDefault="00E60909">
      <w:pPr>
        <w:pStyle w:val="af8"/>
        <w:numPr>
          <w:ilvl w:val="0"/>
          <w:numId w:val="14"/>
        </w:numPr>
        <w:ind w:left="0" w:firstLine="0"/>
      </w:pPr>
      <w:r>
        <w:rPr>
          <w:rFonts w:ascii="楷体" w:eastAsia="楷体" w:hAnsi="楷体" w:hint="eastAsia"/>
        </w:rPr>
        <w:t>【品质项】</w:t>
      </w:r>
      <w:r>
        <w:rPr>
          <w:rFonts w:hint="eastAsia"/>
        </w:rPr>
        <w:t>住宅户内应至少有一个卫生间按照无障碍要求设置，并预留</w:t>
      </w:r>
      <w:proofErr w:type="gramStart"/>
      <w:r>
        <w:rPr>
          <w:rFonts w:hint="eastAsia"/>
        </w:rPr>
        <w:t>适</w:t>
      </w:r>
      <w:proofErr w:type="gramEnd"/>
      <w:r>
        <w:rPr>
          <w:rFonts w:hint="eastAsia"/>
        </w:rPr>
        <w:t>老化安全抓杆、扶手的安装条件。</w:t>
      </w:r>
    </w:p>
    <w:p w14:paraId="28C4BB42" w14:textId="77777777" w:rsidR="00622EE7" w:rsidRDefault="00E60909">
      <w:pPr>
        <w:pStyle w:val="af3"/>
        <w:numPr>
          <w:ilvl w:val="0"/>
          <w:numId w:val="14"/>
        </w:numPr>
        <w:ind w:left="0" w:firstLineChars="0" w:firstLine="0"/>
        <w:contextualSpacing/>
      </w:pPr>
      <w:bookmarkStart w:id="37" w:name="OLE_LINK7"/>
      <w:r>
        <w:rPr>
          <w:rFonts w:ascii="楷体" w:eastAsia="楷体" w:hAnsi="楷体" w:hint="eastAsia"/>
        </w:rPr>
        <w:t>【基础项】</w:t>
      </w:r>
      <w:r>
        <w:rPr>
          <w:rFonts w:hint="eastAsia"/>
          <w:bCs/>
        </w:rPr>
        <w:t>厨房和卫生间</w:t>
      </w:r>
      <w:bookmarkStart w:id="38" w:name="OLE_LINK26"/>
      <w:r>
        <w:rPr>
          <w:rFonts w:hint="eastAsia"/>
          <w:bCs/>
        </w:rPr>
        <w:t>应设置于建筑单元自然通风的</w:t>
      </w:r>
      <w:proofErr w:type="gramStart"/>
      <w:r>
        <w:rPr>
          <w:rFonts w:hint="eastAsia"/>
          <w:bCs/>
        </w:rPr>
        <w:t>负压侧</w:t>
      </w:r>
      <w:bookmarkEnd w:id="38"/>
      <w:r>
        <w:rPr>
          <w:rFonts w:hint="eastAsia"/>
          <w:bCs/>
        </w:rPr>
        <w:t>并保证</w:t>
      </w:r>
      <w:proofErr w:type="gramEnd"/>
      <w:r>
        <w:rPr>
          <w:rFonts w:hint="eastAsia"/>
          <w:bCs/>
        </w:rPr>
        <w:t>一定的压差，防止污染源空间的气味和污染物进入室内，进风口和排风口的位置应避免短路或污染，从而影响室内空气质量。</w:t>
      </w:r>
      <w:bookmarkEnd w:id="37"/>
    </w:p>
    <w:p w14:paraId="1E50A806" w14:textId="77777777" w:rsidR="00622EE7" w:rsidRDefault="00E60909">
      <w:pPr>
        <w:pStyle w:val="af8"/>
        <w:numPr>
          <w:ilvl w:val="0"/>
          <w:numId w:val="14"/>
        </w:numPr>
        <w:ind w:left="0" w:firstLine="0"/>
      </w:pPr>
      <w:r>
        <w:rPr>
          <w:rFonts w:hint="eastAsia"/>
        </w:rPr>
        <w:t>【</w:t>
      </w:r>
      <w:r>
        <w:rPr>
          <w:rFonts w:ascii="楷体" w:eastAsia="楷体" w:hAnsi="楷体" w:hint="eastAsia"/>
        </w:rPr>
        <w:t>提升项】</w:t>
      </w:r>
      <w:r>
        <w:t>卫生间</w:t>
      </w:r>
      <w:r>
        <w:rPr>
          <w:rFonts w:hint="eastAsia"/>
        </w:rPr>
        <w:t>均宜</w:t>
      </w:r>
      <w:r>
        <w:t>通过外窗进行天然采光通风</w:t>
      </w:r>
      <w:r>
        <w:rPr>
          <w:rFonts w:hint="eastAsia"/>
        </w:rPr>
        <w:t>。</w:t>
      </w:r>
    </w:p>
    <w:p w14:paraId="174AA7E1" w14:textId="77777777" w:rsidR="00622EE7" w:rsidRDefault="00E60909">
      <w:pPr>
        <w:pStyle w:val="af8"/>
        <w:numPr>
          <w:ilvl w:val="0"/>
          <w:numId w:val="14"/>
        </w:numPr>
        <w:ind w:left="0" w:firstLine="0"/>
      </w:pPr>
      <w:r>
        <w:rPr>
          <w:rFonts w:ascii="楷体" w:eastAsia="楷体" w:hAnsi="楷体" w:hint="eastAsia"/>
        </w:rPr>
        <w:t>【品质项】</w:t>
      </w:r>
      <w:r>
        <w:rPr>
          <w:rFonts w:hint="eastAsia"/>
        </w:rPr>
        <w:t>住宅入户门门洞高度应≥</w:t>
      </w:r>
      <w:r>
        <w:t>2.10m</w:t>
      </w:r>
      <w:r>
        <w:t>，宽度</w:t>
      </w:r>
      <w:r>
        <w:rPr>
          <w:rFonts w:hint="eastAsia"/>
        </w:rPr>
        <w:t>应≥</w:t>
      </w:r>
      <w:r>
        <w:t>1.20m</w:t>
      </w:r>
      <w:r>
        <w:t>；入户</w:t>
      </w:r>
      <w:r>
        <w:rPr>
          <w:rFonts w:hint="eastAsia"/>
        </w:rPr>
        <w:t>应</w:t>
      </w:r>
      <w:r>
        <w:t>设玄关</w:t>
      </w:r>
      <w:r>
        <w:rPr>
          <w:rFonts w:hint="eastAsia"/>
        </w:rPr>
        <w:t>且</w:t>
      </w:r>
      <w:r>
        <w:t>宽度不</w:t>
      </w:r>
      <w:r>
        <w:rPr>
          <w:rFonts w:hint="eastAsia"/>
        </w:rPr>
        <w:t>应</w:t>
      </w:r>
      <w:r>
        <w:t>小于</w:t>
      </w:r>
      <w:r>
        <w:t>1.20m</w:t>
      </w:r>
      <w:r>
        <w:rPr>
          <w:rFonts w:hint="eastAsia"/>
        </w:rPr>
        <w:t>。</w:t>
      </w:r>
    </w:p>
    <w:p w14:paraId="261710F9" w14:textId="77777777" w:rsidR="00622EE7" w:rsidRDefault="00E60909">
      <w:pPr>
        <w:pStyle w:val="af8"/>
        <w:numPr>
          <w:ilvl w:val="0"/>
          <w:numId w:val="14"/>
        </w:numPr>
        <w:ind w:left="0" w:firstLine="0"/>
      </w:pPr>
      <w:r>
        <w:rPr>
          <w:rFonts w:ascii="楷体" w:eastAsia="楷体" w:hAnsi="楷体" w:hint="eastAsia"/>
        </w:rPr>
        <w:t>【提升项】</w:t>
      </w:r>
      <w:r>
        <w:rPr>
          <w:rFonts w:ascii="宋体" w:hAnsi="宋体" w:hint="eastAsia"/>
        </w:rPr>
        <w:t>有条件时，</w:t>
      </w:r>
      <w:r>
        <w:t>住宅户内</w:t>
      </w:r>
      <w:proofErr w:type="gramStart"/>
      <w:r>
        <w:rPr>
          <w:rFonts w:hint="eastAsia"/>
        </w:rPr>
        <w:t>宜</w:t>
      </w:r>
      <w:r>
        <w:t>合理</w:t>
      </w:r>
      <w:proofErr w:type="gramEnd"/>
      <w:r>
        <w:t>设置</w:t>
      </w:r>
      <w:r>
        <w:rPr>
          <w:rFonts w:hint="eastAsia"/>
        </w:rPr>
        <w:t>多样化功能空间，可设置</w:t>
      </w:r>
      <w:r>
        <w:t>庭院、休闲阳台</w:t>
      </w:r>
      <w:r>
        <w:rPr>
          <w:rFonts w:hint="eastAsia"/>
        </w:rPr>
        <w:t>、</w:t>
      </w:r>
      <w:r>
        <w:t>茶室等休闲空间及衣帽间、储藏室等辅助功能房间</w:t>
      </w:r>
      <w:r>
        <w:rPr>
          <w:rFonts w:hint="eastAsia"/>
        </w:rPr>
        <w:t>，</w:t>
      </w:r>
      <w:r>
        <w:t>并预留电气点位和相关设施</w:t>
      </w:r>
      <w:r>
        <w:rPr>
          <w:rFonts w:hint="eastAsia"/>
        </w:rPr>
        <w:t>。</w:t>
      </w:r>
    </w:p>
    <w:p w14:paraId="5DF2D6B4" w14:textId="77777777" w:rsidR="00622EE7" w:rsidRDefault="00E60909">
      <w:pPr>
        <w:pStyle w:val="af8"/>
        <w:numPr>
          <w:ilvl w:val="0"/>
          <w:numId w:val="14"/>
        </w:numPr>
        <w:ind w:left="0" w:firstLine="0"/>
      </w:pPr>
      <w:r>
        <w:rPr>
          <w:rFonts w:ascii="楷体" w:eastAsia="楷体" w:hAnsi="楷体" w:hint="eastAsia"/>
        </w:rPr>
        <w:t>【提升项】</w:t>
      </w:r>
      <w:r>
        <w:t>住宅户内</w:t>
      </w:r>
      <w:proofErr w:type="gramStart"/>
      <w:r>
        <w:rPr>
          <w:rFonts w:hint="eastAsia"/>
        </w:rPr>
        <w:t>宜</w:t>
      </w:r>
      <w:r>
        <w:t>至少</w:t>
      </w:r>
      <w:proofErr w:type="gramEnd"/>
      <w:r>
        <w:t>有</w:t>
      </w:r>
      <w:r>
        <w:t>1</w:t>
      </w:r>
      <w:r>
        <w:t>处阳台或家政空间设置洗衣机、洗涤池位置</w:t>
      </w:r>
      <w:r>
        <w:rPr>
          <w:rFonts w:hint="eastAsia"/>
        </w:rPr>
        <w:t>，</w:t>
      </w:r>
      <w:r>
        <w:t>并配备给排水、供电措施</w:t>
      </w:r>
      <w:r>
        <w:rPr>
          <w:rFonts w:hint="eastAsia"/>
        </w:rPr>
        <w:t>。</w:t>
      </w:r>
    </w:p>
    <w:p w14:paraId="4823A4B6" w14:textId="77777777" w:rsidR="00622EE7" w:rsidRDefault="00E60909">
      <w:pPr>
        <w:pStyle w:val="1"/>
      </w:pPr>
      <w:bookmarkStart w:id="39" w:name="_Toc182841354"/>
      <w:r>
        <w:lastRenderedPageBreak/>
        <w:t xml:space="preserve">7 </w:t>
      </w:r>
      <w:r>
        <w:rPr>
          <w:rFonts w:hint="eastAsia"/>
        </w:rPr>
        <w:t xml:space="preserve"> </w:t>
      </w:r>
      <w:r>
        <w:rPr>
          <w:rFonts w:hint="eastAsia"/>
        </w:rPr>
        <w:t>建筑结构</w:t>
      </w:r>
      <w:bookmarkEnd w:id="39"/>
    </w:p>
    <w:p w14:paraId="1A72B47C" w14:textId="77777777" w:rsidR="00622EE7" w:rsidRDefault="00E60909">
      <w:pPr>
        <w:spacing w:beforeLines="50" w:before="163" w:afterLines="50" w:after="163" w:line="360" w:lineRule="auto"/>
        <w:jc w:val="center"/>
        <w:outlineLvl w:val="1"/>
        <w:rPr>
          <w:rFonts w:ascii="Times New Roman" w:eastAsia="黑体" w:hAnsi="Times New Roman"/>
        </w:rPr>
      </w:pPr>
      <w:bookmarkStart w:id="40" w:name="_Toc182841355"/>
      <w:r>
        <w:rPr>
          <w:rFonts w:ascii="Times New Roman" w:eastAsia="黑体" w:hAnsi="Times New Roman" w:hint="eastAsia"/>
        </w:rPr>
        <w:t>7</w:t>
      </w:r>
      <w:r>
        <w:rPr>
          <w:rFonts w:ascii="Times New Roman" w:eastAsia="黑体" w:hAnsi="Times New Roman"/>
        </w:rPr>
        <w:t xml:space="preserve">.1 </w:t>
      </w:r>
      <w:r>
        <w:rPr>
          <w:rFonts w:ascii="Times New Roman" w:eastAsia="黑体" w:hAnsi="Times New Roman" w:hint="eastAsia"/>
        </w:rPr>
        <w:t>结构体系和材料</w:t>
      </w:r>
      <w:bookmarkEnd w:id="40"/>
    </w:p>
    <w:p w14:paraId="3D82AEC5"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hint="eastAsia"/>
        </w:rPr>
        <w:t>建筑结构应满足承载力和建筑使用功能要求。建筑外墙、屋面、门窗及外保温等围护结构应满足安全、耐久和防护的要求。</w:t>
      </w:r>
    </w:p>
    <w:p w14:paraId="59779E78"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hint="eastAsia"/>
        </w:rPr>
        <w:t>抗震结构应具有多道防线，结构体系应安全、可靠、合理。</w:t>
      </w:r>
    </w:p>
    <w:p w14:paraId="5D0758CE"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hint="eastAsia"/>
        </w:rPr>
        <w:t>不应采用严重不规则的结构方案。不宜采用特别不规则的结构方案，不规则的建筑应按规定采取相应的加强措施。</w:t>
      </w:r>
    </w:p>
    <w:p w14:paraId="7DE6B04C"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ascii="楷体" w:eastAsia="楷体" w:hAnsi="楷体" w:hint="eastAsia"/>
        </w:rPr>
        <w:t>】</w:t>
      </w:r>
      <w:r>
        <w:rPr>
          <w:rFonts w:hint="eastAsia"/>
        </w:rPr>
        <w:t>选择</w:t>
      </w:r>
      <w:r>
        <w:t>建筑场地时，应选择对抗震有利地段，避开不利地段，</w:t>
      </w:r>
      <w:proofErr w:type="gramStart"/>
      <w:r>
        <w:t>当无法</w:t>
      </w:r>
      <w:proofErr w:type="gramEnd"/>
      <w:r>
        <w:t>避开不利地段时，应采取有效的措施；</w:t>
      </w:r>
      <w:proofErr w:type="gramStart"/>
      <w:r>
        <w:rPr>
          <w:rFonts w:hint="eastAsia"/>
        </w:rPr>
        <w:t>不</w:t>
      </w:r>
      <w:proofErr w:type="gramEnd"/>
      <w:r>
        <w:rPr>
          <w:rFonts w:hint="eastAsia"/>
        </w:rPr>
        <w:t>应</w:t>
      </w:r>
      <w:r>
        <w:t>选</w:t>
      </w:r>
      <w:proofErr w:type="gramStart"/>
      <w:r>
        <w:t>择危险</w:t>
      </w:r>
      <w:proofErr w:type="gramEnd"/>
      <w:r>
        <w:t>地段场地。</w:t>
      </w:r>
    </w:p>
    <w:p w14:paraId="16064F2B"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【品质项】</w:t>
      </w:r>
      <w:r>
        <w:rPr>
          <w:rFonts w:hint="eastAsia"/>
        </w:rPr>
        <w:t>结构用材料应满足绿色环保的要求，应结合本地区供应条件，优先选用可再循环、再利用的材料，并应提升材料利用效率。</w:t>
      </w:r>
    </w:p>
    <w:p w14:paraId="0B17EC55" w14:textId="77777777" w:rsidR="00622EE7" w:rsidRDefault="00E60909">
      <w:pPr>
        <w:pStyle w:val="af3"/>
        <w:numPr>
          <w:ilvl w:val="0"/>
          <w:numId w:val="15"/>
        </w:numPr>
        <w:spacing w:beforeLines="25" w:before="81"/>
        <w:ind w:left="0" w:firstLineChars="0" w:firstLine="0"/>
        <w:contextualSpacing/>
        <w:rPr>
          <w:rFonts w:ascii="楷体" w:eastAsia="楷体" w:hAnsi="楷体"/>
        </w:rPr>
      </w:pPr>
      <w:r>
        <w:rPr>
          <w:rFonts w:ascii="楷体" w:eastAsia="楷体" w:hAnsi="楷体" w:hint="eastAsia"/>
        </w:rPr>
        <w:t>【品质项】</w:t>
      </w:r>
      <w:r>
        <w:rPr>
          <w:rFonts w:ascii="宋体" w:hAnsi="宋体"/>
        </w:rPr>
        <w:t>结构体系</w:t>
      </w:r>
      <w:r>
        <w:rPr>
          <w:rFonts w:ascii="宋体" w:hAnsi="宋体" w:hint="eastAsia"/>
        </w:rPr>
        <w:t>宜</w:t>
      </w:r>
      <w:r>
        <w:rPr>
          <w:rFonts w:ascii="宋体" w:hAnsi="宋体"/>
        </w:rPr>
        <w:t>有利于空间的灵活分隔</w:t>
      </w:r>
      <w:r>
        <w:rPr>
          <w:rFonts w:ascii="宋体" w:hAnsi="宋体" w:hint="eastAsia"/>
        </w:rPr>
        <w:t>，并为未来空间的灵活分隔提供条件</w:t>
      </w:r>
      <w:r>
        <w:rPr>
          <w:rFonts w:ascii="宋体" w:hAnsi="宋体"/>
        </w:rPr>
        <w:t>。</w:t>
      </w:r>
      <w:r>
        <w:rPr>
          <w:rFonts w:hint="eastAsia"/>
        </w:rPr>
        <w:t>设计时应按照适宜的空间布局方案包络确定活荷载设计值。</w:t>
      </w:r>
    </w:p>
    <w:p w14:paraId="2FD225D6" w14:textId="77777777" w:rsidR="00622EE7" w:rsidRDefault="00E60909">
      <w:pPr>
        <w:spacing w:beforeLines="50" w:before="163" w:afterLines="50" w:after="163" w:line="360" w:lineRule="auto"/>
        <w:jc w:val="center"/>
        <w:outlineLvl w:val="1"/>
        <w:rPr>
          <w:rFonts w:ascii="Times New Roman" w:eastAsia="黑体" w:hAnsi="Times New Roman"/>
        </w:rPr>
      </w:pPr>
      <w:bookmarkStart w:id="41" w:name="_Toc182841356"/>
      <w:r>
        <w:rPr>
          <w:rFonts w:ascii="Times New Roman" w:eastAsia="黑体" w:hAnsi="Times New Roman" w:hint="eastAsia"/>
        </w:rPr>
        <w:t>7</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地上结构</w:t>
      </w:r>
      <w:bookmarkEnd w:id="41"/>
    </w:p>
    <w:p w14:paraId="2C025BFC"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【提升项】</w:t>
      </w:r>
      <w:r>
        <w:t>高层住宅剪力墙</w:t>
      </w:r>
      <w:r>
        <w:rPr>
          <w:rFonts w:hint="eastAsia"/>
        </w:rPr>
        <w:t>厚度不应小于</w:t>
      </w:r>
      <w:r>
        <w:rPr>
          <w:rFonts w:hint="eastAsia"/>
        </w:rPr>
        <w:t>200mm,</w:t>
      </w:r>
      <w:r>
        <w:t>水平及竖向分布</w:t>
      </w:r>
      <w:proofErr w:type="gramStart"/>
      <w:r>
        <w:t>筋</w:t>
      </w:r>
      <w:proofErr w:type="gramEnd"/>
      <w:r>
        <w:t>间距均不应大于</w:t>
      </w:r>
      <w:r>
        <w:t>200mm</w:t>
      </w:r>
      <w:r>
        <w:rPr>
          <w:rFonts w:hint="eastAsia"/>
        </w:rPr>
        <w:t>。</w:t>
      </w:r>
    </w:p>
    <w:p w14:paraId="718F92D5" w14:textId="77777777" w:rsidR="00622EE7" w:rsidRDefault="00E60909">
      <w:pPr>
        <w:pStyle w:val="af3"/>
        <w:numPr>
          <w:ilvl w:val="0"/>
          <w:numId w:val="16"/>
        </w:numPr>
        <w:ind w:left="0" w:firstLineChars="0" w:firstLine="0"/>
        <w:contextualSpacing/>
      </w:pPr>
      <w:r>
        <w:rPr>
          <w:rFonts w:ascii="楷体" w:eastAsia="楷体" w:hAnsi="楷体" w:hint="eastAsia"/>
        </w:rPr>
        <w:t>【品质项】</w:t>
      </w:r>
      <w:r>
        <w:rPr>
          <w:rFonts w:hint="eastAsia"/>
        </w:rPr>
        <w:t>现浇混凝土屋面板应采用防水混凝土或其他减少开裂的技术措施，屋面板厚度不应小于</w:t>
      </w:r>
      <w:r>
        <w:t>120mm</w:t>
      </w:r>
      <w:r>
        <w:rPr>
          <w:rFonts w:hint="eastAsia"/>
        </w:rPr>
        <w:t>，且应设置双层双向通长配筋，各向配筋间距均不宜大于</w:t>
      </w:r>
      <w:r>
        <w:t>150mm</w:t>
      </w:r>
      <w:r>
        <w:rPr>
          <w:rFonts w:hint="eastAsia"/>
        </w:rPr>
        <w:t>。</w:t>
      </w:r>
    </w:p>
    <w:p w14:paraId="2C00EFBD"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【提升项】</w:t>
      </w:r>
      <w:r>
        <w:rPr>
          <w:rFonts w:hint="eastAsia"/>
        </w:rPr>
        <w:t>现浇板内预埋线管应设置在上下钢筋网片中间。线管外皮距离楼板上下外边缘不应小于</w:t>
      </w:r>
      <w:r>
        <w:rPr>
          <w:rFonts w:hint="eastAsia"/>
        </w:rPr>
        <w:t>35mm</w:t>
      </w:r>
      <w:r>
        <w:rPr>
          <w:rFonts w:hint="eastAsia"/>
        </w:rPr>
        <w:t>，线管外径不应大于板厚的</w:t>
      </w:r>
      <w:r>
        <w:rPr>
          <w:rFonts w:hint="eastAsia"/>
        </w:rPr>
        <w:t>1/3</w:t>
      </w:r>
      <w:r>
        <w:rPr>
          <w:rFonts w:hint="eastAsia"/>
        </w:rPr>
        <w:t>；线管并排设置时，线管间净距不应小于</w:t>
      </w:r>
      <w:r>
        <w:rPr>
          <w:rFonts w:hint="eastAsia"/>
        </w:rPr>
        <w:t>50mm</w:t>
      </w:r>
      <w:r>
        <w:rPr>
          <w:rFonts w:hint="eastAsia"/>
        </w:rPr>
        <w:t>。</w:t>
      </w:r>
    </w:p>
    <w:p w14:paraId="3AF9F0F7"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【提升项】</w:t>
      </w:r>
      <w:r>
        <w:t>住宅项目的楼盖满足楼盖竖向振动舒适度要求，</w:t>
      </w:r>
      <w:r>
        <w:rPr>
          <w:rFonts w:hint="eastAsia"/>
        </w:rPr>
        <w:t>住宅竖向自振频率不宜低于</w:t>
      </w:r>
      <w:r>
        <w:rPr>
          <w:rFonts w:hint="eastAsia"/>
        </w:rPr>
        <w:t>5Hz</w:t>
      </w:r>
      <w:r>
        <w:rPr>
          <w:rFonts w:hint="eastAsia"/>
        </w:rPr>
        <w:t>，竖向振动加速度限值不应超过</w:t>
      </w:r>
      <w:r>
        <w:rPr>
          <w:rFonts w:hint="eastAsia"/>
        </w:rPr>
        <w:t>0.05m/s</w:t>
      </w:r>
      <w:r>
        <w:rPr>
          <w:rFonts w:hint="eastAsia"/>
          <w:vertAlign w:val="superscript"/>
        </w:rPr>
        <w:t>2</w:t>
      </w:r>
      <w:r>
        <w:rPr>
          <w:rFonts w:hint="eastAsia"/>
        </w:rPr>
        <w:t>。</w:t>
      </w:r>
    </w:p>
    <w:p w14:paraId="219DFC43"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【品质项】</w:t>
      </w:r>
      <w:r>
        <w:rPr>
          <w:rFonts w:hint="eastAsia"/>
        </w:rPr>
        <w:t>高层住宅项目应满足</w:t>
      </w:r>
      <w:r>
        <w:t>10</w:t>
      </w:r>
      <w:r>
        <w:rPr>
          <w:rFonts w:hint="eastAsia"/>
        </w:rPr>
        <w:t>年重现期水平风荷载作用的振动</w:t>
      </w:r>
      <w:r>
        <w:rPr>
          <w:rFonts w:hint="eastAsia"/>
        </w:rPr>
        <w:t>舒适度要求。</w:t>
      </w:r>
    </w:p>
    <w:p w14:paraId="44E36996" w14:textId="77777777" w:rsidR="00622EE7" w:rsidRDefault="00E60909">
      <w:pPr>
        <w:pStyle w:val="af3"/>
        <w:numPr>
          <w:ilvl w:val="0"/>
          <w:numId w:val="16"/>
        </w:numPr>
        <w:ind w:left="0" w:firstLineChars="0" w:firstLine="0"/>
        <w:contextualSpacing/>
      </w:pPr>
      <w:r>
        <w:rPr>
          <w:rFonts w:ascii="楷体" w:eastAsia="楷体" w:hAnsi="楷体" w:hint="eastAsia"/>
        </w:rPr>
        <w:lastRenderedPageBreak/>
        <w:t>【提升项】</w:t>
      </w:r>
      <w:r>
        <w:t>现浇钢筋混凝土楼板厚度不</w:t>
      </w:r>
      <w:r>
        <w:rPr>
          <w:rFonts w:hint="eastAsia"/>
        </w:rPr>
        <w:t>宜</w:t>
      </w:r>
      <w:r>
        <w:t>小于</w:t>
      </w:r>
      <w:r>
        <w:t>120mm</w:t>
      </w:r>
      <w:r>
        <w:rPr>
          <w:rFonts w:hint="eastAsia"/>
        </w:rPr>
        <w:t>，</w:t>
      </w:r>
      <w:r>
        <w:t>单向板厚度不</w:t>
      </w:r>
      <w:r>
        <w:rPr>
          <w:rFonts w:hint="eastAsia"/>
        </w:rPr>
        <w:t>宜</w:t>
      </w:r>
      <w:r>
        <w:t>小于跨度</w:t>
      </w:r>
      <w:r>
        <w:t>1/30</w:t>
      </w:r>
      <w:r>
        <w:t>，双向板厚度不</w:t>
      </w:r>
      <w:r>
        <w:rPr>
          <w:rFonts w:hint="eastAsia"/>
        </w:rPr>
        <w:t>宜</w:t>
      </w:r>
      <w:proofErr w:type="gramStart"/>
      <w:r>
        <w:t>小于短跨</w:t>
      </w:r>
      <w:r>
        <w:rPr>
          <w:rFonts w:hint="eastAsia"/>
        </w:rPr>
        <w:t>跨度</w:t>
      </w:r>
      <w:proofErr w:type="gramEnd"/>
      <w:r>
        <w:t>的</w:t>
      </w:r>
      <w:r>
        <w:t>1/35</w:t>
      </w:r>
      <w:r>
        <w:rPr>
          <w:rFonts w:hint="eastAsia"/>
        </w:rPr>
        <w:t>。</w:t>
      </w:r>
    </w:p>
    <w:p w14:paraId="635671C3" w14:textId="77777777" w:rsidR="00622EE7" w:rsidRDefault="00E60909">
      <w:pPr>
        <w:pStyle w:val="af3"/>
        <w:numPr>
          <w:ilvl w:val="0"/>
          <w:numId w:val="16"/>
        </w:numPr>
        <w:ind w:left="0" w:firstLineChars="0" w:firstLine="0"/>
        <w:contextualSpacing/>
      </w:pPr>
      <w:r>
        <w:rPr>
          <w:rFonts w:ascii="楷体" w:eastAsia="楷体" w:hAnsi="楷体" w:hint="eastAsia"/>
        </w:rPr>
        <w:t>【品质项】</w:t>
      </w:r>
      <w:r>
        <w:rPr>
          <w:rFonts w:hint="eastAsia"/>
        </w:rPr>
        <w:t>悬挑阳台、露台的活荷载标准值不应小于</w:t>
      </w:r>
      <w:r>
        <w:t>3.5kN/m</w:t>
      </w:r>
      <w:r>
        <w:rPr>
          <w:vertAlign w:val="superscript"/>
        </w:rPr>
        <w:t>2</w:t>
      </w:r>
      <w:r>
        <w:rPr>
          <w:rFonts w:hint="eastAsia"/>
        </w:rPr>
        <w:t>。悬挑长度不小于</w:t>
      </w:r>
      <w:r>
        <w:rPr>
          <w:rFonts w:hint="eastAsia"/>
        </w:rPr>
        <w:t>1</w:t>
      </w:r>
      <w:r>
        <w:t>.2</w:t>
      </w:r>
      <w:r>
        <w:rPr>
          <w:rFonts w:hint="eastAsia"/>
        </w:rPr>
        <w:t>m</w:t>
      </w:r>
      <w:r>
        <w:rPr>
          <w:rFonts w:hint="eastAsia"/>
        </w:rPr>
        <w:t>的阳台、露台应采用梁板结构。</w:t>
      </w:r>
    </w:p>
    <w:p w14:paraId="0657309E"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【品质项】</w:t>
      </w:r>
      <w:r>
        <w:rPr>
          <w:rFonts w:hint="eastAsia"/>
        </w:rPr>
        <w:t>设备穿墙洞口应在混凝土浇筑前埋设套管，避免后期剔凿。</w:t>
      </w:r>
    </w:p>
    <w:p w14:paraId="59F0CAA7" w14:textId="77777777" w:rsidR="00622EE7" w:rsidRDefault="00E60909">
      <w:pPr>
        <w:pStyle w:val="af3"/>
        <w:numPr>
          <w:ilvl w:val="0"/>
          <w:numId w:val="16"/>
        </w:numPr>
        <w:ind w:left="0" w:firstLineChars="0" w:firstLine="0"/>
        <w:contextualSpacing/>
      </w:pPr>
      <w:r>
        <w:rPr>
          <w:rFonts w:ascii="楷体" w:eastAsia="楷体" w:hAnsi="楷体" w:hint="eastAsia"/>
        </w:rPr>
        <w:t>【提升项】</w:t>
      </w:r>
      <w:r>
        <w:t>悬挑设备平台板厚</w:t>
      </w:r>
      <w:r>
        <w:rPr>
          <w:rFonts w:hint="eastAsia"/>
        </w:rPr>
        <w:t>不宜低于</w:t>
      </w:r>
      <w:r>
        <w:t>120mm</w:t>
      </w:r>
      <w:r>
        <w:t>。</w:t>
      </w:r>
    </w:p>
    <w:p w14:paraId="059B5DC9" w14:textId="77777777" w:rsidR="00622EE7" w:rsidRDefault="00E60909">
      <w:pPr>
        <w:pStyle w:val="af3"/>
        <w:numPr>
          <w:ilvl w:val="0"/>
          <w:numId w:val="16"/>
        </w:numPr>
        <w:ind w:left="0" w:firstLineChars="0" w:firstLine="0"/>
        <w:contextualSpacing/>
      </w:pPr>
      <w:r>
        <w:rPr>
          <w:rFonts w:ascii="楷体" w:eastAsia="楷体" w:hAnsi="楷体" w:hint="eastAsia"/>
        </w:rPr>
        <w:t>【基础项】</w:t>
      </w:r>
      <w:r>
        <w:rPr>
          <w:rFonts w:hint="eastAsia"/>
        </w:rPr>
        <w:t>非承重墙体、</w:t>
      </w:r>
      <w:proofErr w:type="gramStart"/>
      <w:r>
        <w:rPr>
          <w:rFonts w:hint="eastAsia"/>
        </w:rPr>
        <w:t>附着于楼屋面</w:t>
      </w:r>
      <w:proofErr w:type="gramEnd"/>
      <w:r>
        <w:rPr>
          <w:rFonts w:hint="eastAsia"/>
        </w:rPr>
        <w:t>结构的构件、装饰构件和部件等</w:t>
      </w:r>
      <w:proofErr w:type="gramStart"/>
      <w:r>
        <w:rPr>
          <w:rFonts w:hint="eastAsia"/>
        </w:rPr>
        <w:t>建筑非</w:t>
      </w:r>
      <w:proofErr w:type="gramEnd"/>
      <w:r>
        <w:rPr>
          <w:rFonts w:hint="eastAsia"/>
        </w:rPr>
        <w:t>结构构件与建筑结构的连接应承受非结构构件传递的地震作用。</w:t>
      </w:r>
    </w:p>
    <w:p w14:paraId="346997D3" w14:textId="77777777" w:rsidR="00622EE7" w:rsidRDefault="00622EE7">
      <w:pPr>
        <w:pStyle w:val="af3"/>
        <w:ind w:firstLineChars="0" w:firstLine="0"/>
        <w:contextualSpacing/>
      </w:pPr>
    </w:p>
    <w:p w14:paraId="51F24F25" w14:textId="77777777" w:rsidR="00622EE7" w:rsidRDefault="00E60909">
      <w:pPr>
        <w:spacing w:beforeLines="50" w:before="163" w:afterLines="50" w:after="163" w:line="360" w:lineRule="auto"/>
        <w:jc w:val="center"/>
        <w:outlineLvl w:val="1"/>
        <w:rPr>
          <w:rFonts w:ascii="Times New Roman" w:eastAsia="黑体" w:hAnsi="Times New Roman"/>
        </w:rPr>
      </w:pPr>
      <w:bookmarkStart w:id="42" w:name="_Toc182841357"/>
      <w:r>
        <w:rPr>
          <w:rFonts w:ascii="Times New Roman" w:eastAsia="黑体" w:hAnsi="Times New Roman" w:hint="eastAsia"/>
        </w:rPr>
        <w:t>7.3</w:t>
      </w:r>
      <w:r>
        <w:rPr>
          <w:rFonts w:ascii="Times New Roman" w:eastAsia="黑体" w:hAnsi="Times New Roman"/>
        </w:rPr>
        <w:t xml:space="preserve"> </w:t>
      </w:r>
      <w:r>
        <w:rPr>
          <w:rFonts w:ascii="Times New Roman" w:eastAsia="黑体" w:hAnsi="Times New Roman" w:hint="eastAsia"/>
        </w:rPr>
        <w:t>地下结构和</w:t>
      </w:r>
      <w:r>
        <w:rPr>
          <w:rFonts w:ascii="Times New Roman" w:eastAsia="黑体" w:hAnsi="Times New Roman" w:hint="eastAsia"/>
        </w:rPr>
        <w:t>基础</w:t>
      </w:r>
      <w:bookmarkEnd w:id="42"/>
    </w:p>
    <w:p w14:paraId="57D321F2" w14:textId="77777777" w:rsidR="00622EE7" w:rsidRDefault="00E60909">
      <w:pPr>
        <w:pStyle w:val="af3"/>
        <w:numPr>
          <w:ilvl w:val="0"/>
          <w:numId w:val="17"/>
        </w:numPr>
        <w:ind w:left="0" w:firstLineChars="0" w:firstLine="0"/>
        <w:contextualSpacing/>
      </w:pPr>
      <w:r>
        <w:rPr>
          <w:rFonts w:ascii="楷体" w:eastAsia="楷体" w:hAnsi="楷体" w:hint="eastAsia"/>
        </w:rPr>
        <w:t>【基础项】</w:t>
      </w:r>
      <w:r>
        <w:rPr>
          <w:rFonts w:hint="eastAsia"/>
        </w:rPr>
        <w:t>土方回填应分层施工，每层压实。应根据工程特点、土料性质、设计压实系数、施工条件等合理选择压实机具，并确定回填土料含水量控制范围、铺土厚度、压实遍数等施工参数。重要土方回填工程或采用新型压实机具的，应通过填土压实试验确定施工参数。</w:t>
      </w:r>
    </w:p>
    <w:p w14:paraId="59CA2325" w14:textId="77777777" w:rsidR="00622EE7" w:rsidRDefault="00E60909">
      <w:pPr>
        <w:pStyle w:val="af3"/>
        <w:numPr>
          <w:ilvl w:val="0"/>
          <w:numId w:val="17"/>
        </w:numPr>
        <w:ind w:left="0" w:firstLineChars="0" w:firstLine="0"/>
        <w:contextualSpacing/>
      </w:pPr>
      <w:r>
        <w:rPr>
          <w:rFonts w:ascii="楷体" w:eastAsia="楷体" w:hAnsi="楷体" w:hint="eastAsia"/>
        </w:rPr>
        <w:t>【品质项】</w:t>
      </w:r>
      <w:r>
        <w:t>地下室顶板不应采用无梁楼盖</w:t>
      </w:r>
      <w:r>
        <w:rPr>
          <w:rFonts w:hint="eastAsia"/>
        </w:rPr>
        <w:t>；</w:t>
      </w:r>
      <w:r>
        <w:t>应双层双向通长配筋，</w:t>
      </w:r>
      <w:proofErr w:type="gramStart"/>
      <w:r>
        <w:t>且通长</w:t>
      </w:r>
      <w:proofErr w:type="gramEnd"/>
      <w:r>
        <w:t>配筋不</w:t>
      </w:r>
      <w:proofErr w:type="gramStart"/>
      <w:r>
        <w:t>小于受弯构件</w:t>
      </w:r>
      <w:proofErr w:type="gramEnd"/>
      <w:r>
        <w:t>的最小配筋率</w:t>
      </w:r>
      <w:r>
        <w:rPr>
          <w:rFonts w:hint="eastAsia"/>
        </w:rPr>
        <w:t>。</w:t>
      </w:r>
    </w:p>
    <w:p w14:paraId="3AB3214D" w14:textId="77777777" w:rsidR="00622EE7" w:rsidRDefault="00E60909">
      <w:pPr>
        <w:pStyle w:val="af3"/>
        <w:numPr>
          <w:ilvl w:val="0"/>
          <w:numId w:val="17"/>
        </w:numPr>
        <w:ind w:firstLineChars="0"/>
        <w:contextualSpacing/>
      </w:pPr>
      <w:r>
        <w:rPr>
          <w:rFonts w:ascii="楷体" w:eastAsia="楷体" w:hAnsi="楷体" w:hint="eastAsia"/>
        </w:rPr>
        <w:t>【提升项】</w:t>
      </w:r>
      <w:r>
        <w:t>地下室钢筋混凝土外墙厚度不</w:t>
      </w:r>
      <w:r>
        <w:rPr>
          <w:rFonts w:hint="eastAsia"/>
        </w:rPr>
        <w:t>宜</w:t>
      </w:r>
      <w:r>
        <w:t>小于</w:t>
      </w:r>
      <w:r>
        <w:t>300mm</w:t>
      </w:r>
      <w:r>
        <w:t>。</w:t>
      </w:r>
    </w:p>
    <w:p w14:paraId="05115F2B" w14:textId="77777777" w:rsidR="00622EE7" w:rsidRDefault="00E60909">
      <w:pPr>
        <w:pStyle w:val="af3"/>
        <w:numPr>
          <w:ilvl w:val="0"/>
          <w:numId w:val="17"/>
        </w:numPr>
        <w:ind w:left="0" w:firstLineChars="0" w:firstLine="0"/>
        <w:contextualSpacing/>
      </w:pPr>
      <w:r>
        <w:rPr>
          <w:rFonts w:ascii="楷体" w:eastAsia="楷体" w:hAnsi="楷体" w:hint="eastAsia"/>
        </w:rPr>
        <w:t>【品质项】</w:t>
      </w:r>
      <w:r>
        <w:rPr>
          <w:rFonts w:hint="eastAsia"/>
        </w:rPr>
        <w:t>地下室外墙</w:t>
      </w:r>
      <w:r>
        <w:t>水平分布钢筋间距不应大于</w:t>
      </w:r>
      <w:r>
        <w:t>150mm</w:t>
      </w:r>
      <w:r>
        <w:t>，水平</w:t>
      </w:r>
      <w:proofErr w:type="gramStart"/>
      <w:r>
        <w:t>筋</w:t>
      </w:r>
      <w:proofErr w:type="gramEnd"/>
      <w:r>
        <w:t>单侧配筋率不</w:t>
      </w:r>
      <w:r>
        <w:rPr>
          <w:rFonts w:hint="eastAsia"/>
        </w:rPr>
        <w:t>应</w:t>
      </w:r>
      <w:r>
        <w:t>小于</w:t>
      </w:r>
      <w:r>
        <w:t>0.2%</w:t>
      </w:r>
      <w:r>
        <w:t>；竖向钢筋间距不</w:t>
      </w:r>
      <w:r>
        <w:rPr>
          <w:rFonts w:hint="eastAsia"/>
        </w:rPr>
        <w:t>应</w:t>
      </w:r>
      <w:r>
        <w:t>大于</w:t>
      </w:r>
      <w:r>
        <w:t>1</w:t>
      </w:r>
      <w:r>
        <w:t>50mm</w:t>
      </w:r>
      <w:r>
        <w:t>，单侧通长筋配筋率不</w:t>
      </w:r>
      <w:r>
        <w:rPr>
          <w:rFonts w:hint="eastAsia"/>
        </w:rPr>
        <w:t>应</w:t>
      </w:r>
      <w:r>
        <w:t>小于</w:t>
      </w:r>
      <w:r>
        <w:t>0.3%</w:t>
      </w:r>
      <w:r>
        <w:t>。</w:t>
      </w:r>
    </w:p>
    <w:p w14:paraId="067CA015"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t>地下室外墙及非主楼范围的地下室顶板的裂缝宽度限值，迎水面不</w:t>
      </w:r>
      <w:r>
        <w:rPr>
          <w:rFonts w:hint="eastAsia"/>
        </w:rPr>
        <w:t>宜</w:t>
      </w:r>
      <w:r>
        <w:t>大于</w:t>
      </w:r>
      <w:r>
        <w:t>0.2mm</w:t>
      </w:r>
      <w:r>
        <w:t>、</w:t>
      </w:r>
      <w:proofErr w:type="gramStart"/>
      <w:r>
        <w:t>非迎水面</w:t>
      </w:r>
      <w:proofErr w:type="gramEnd"/>
      <w:r>
        <w:t>不</w:t>
      </w:r>
      <w:r>
        <w:rPr>
          <w:rFonts w:hint="eastAsia"/>
        </w:rPr>
        <w:t>宜</w:t>
      </w:r>
      <w:r>
        <w:t>大于</w:t>
      </w:r>
      <w:r>
        <w:t>0.3mm</w:t>
      </w:r>
      <w:r>
        <w:t>，且地下室混凝土的抗渗等级不</w:t>
      </w:r>
      <w:r>
        <w:rPr>
          <w:rFonts w:hint="eastAsia"/>
        </w:rPr>
        <w:t>宜</w:t>
      </w:r>
      <w:r>
        <w:t>小于</w:t>
      </w:r>
      <w:r>
        <w:t>P8</w:t>
      </w:r>
      <w:r>
        <w:rPr>
          <w:rFonts w:hint="eastAsia"/>
        </w:rPr>
        <w:t>。</w:t>
      </w:r>
    </w:p>
    <w:p w14:paraId="76160697"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rPr>
          <w:rFonts w:hint="eastAsia"/>
        </w:rPr>
        <w:t>抗拔桩和抗拔锚杆的最大裂缝宽度不宜大于</w:t>
      </w:r>
      <w:r>
        <w:rPr>
          <w:rFonts w:hint="eastAsia"/>
        </w:rPr>
        <w:t>0.2mm</w:t>
      </w:r>
      <w:r>
        <w:rPr>
          <w:rFonts w:hint="eastAsia"/>
        </w:rPr>
        <w:t>。</w:t>
      </w:r>
    </w:p>
    <w:p w14:paraId="4607BB34"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rPr>
          <w:rFonts w:hint="eastAsia"/>
        </w:rPr>
        <w:t>地下室底板采用平板式筏基时板厚不宜小于</w:t>
      </w:r>
      <w:r>
        <w:t>400mm</w:t>
      </w:r>
      <w:r>
        <w:rPr>
          <w:rFonts w:hint="eastAsia"/>
        </w:rPr>
        <w:t>。</w:t>
      </w:r>
      <w:r>
        <w:t>水压力大于</w:t>
      </w:r>
      <w:r>
        <w:t>35kPa</w:t>
      </w:r>
      <w:r>
        <w:t>时，</w:t>
      </w:r>
      <w:r>
        <w:rPr>
          <w:rFonts w:hint="eastAsia"/>
        </w:rPr>
        <w:t>防水</w:t>
      </w:r>
      <w:r>
        <w:t>板厚度不</w:t>
      </w:r>
      <w:r>
        <w:rPr>
          <w:rFonts w:hint="eastAsia"/>
        </w:rPr>
        <w:t>宜</w:t>
      </w:r>
      <w:r>
        <w:t>小于</w:t>
      </w:r>
      <w:r>
        <w:t>400mm</w:t>
      </w:r>
      <w:r>
        <w:rPr>
          <w:rFonts w:hint="eastAsia"/>
        </w:rPr>
        <w:t>；</w:t>
      </w:r>
      <w:proofErr w:type="gramStart"/>
      <w:r>
        <w:rPr>
          <w:rFonts w:hint="eastAsia"/>
        </w:rPr>
        <w:t>筏板和</w:t>
      </w:r>
      <w:proofErr w:type="gramEnd"/>
      <w:r>
        <w:rPr>
          <w:rFonts w:hint="eastAsia"/>
        </w:rPr>
        <w:t>防水</w:t>
      </w:r>
      <w:r>
        <w:t>板</w:t>
      </w:r>
      <w:r>
        <w:rPr>
          <w:rFonts w:hint="eastAsia"/>
        </w:rPr>
        <w:t>应双层双向配筋，</w:t>
      </w:r>
      <w:r>
        <w:t>每层</w:t>
      </w:r>
      <w:proofErr w:type="gramStart"/>
      <w:r>
        <w:t>每方向</w:t>
      </w:r>
      <w:proofErr w:type="gramEnd"/>
      <w:r>
        <w:t>钢筋配筋率</w:t>
      </w:r>
      <w:r>
        <w:rPr>
          <w:rFonts w:hint="eastAsia"/>
        </w:rPr>
        <w:t>均</w:t>
      </w:r>
      <w:r>
        <w:t>不</w:t>
      </w:r>
      <w:r>
        <w:rPr>
          <w:rFonts w:hint="eastAsia"/>
        </w:rPr>
        <w:t>宜</w:t>
      </w:r>
      <w:r>
        <w:t>小于</w:t>
      </w:r>
      <w:r>
        <w:t>0.2%</w:t>
      </w:r>
      <w:r>
        <w:t>和</w:t>
      </w:r>
      <w:r>
        <w:t>45ft/</w:t>
      </w:r>
      <w:proofErr w:type="spellStart"/>
      <w:r>
        <w:t>fy</w:t>
      </w:r>
      <w:proofErr w:type="spellEnd"/>
      <w:r>
        <w:t>中的较大值</w:t>
      </w:r>
      <w:r>
        <w:rPr>
          <w:rFonts w:hint="eastAsia"/>
        </w:rPr>
        <w:t>。</w:t>
      </w:r>
    </w:p>
    <w:p w14:paraId="31A5868B"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rPr>
          <w:rFonts w:hint="eastAsia"/>
        </w:rPr>
        <w:t>建筑工程抗浮稳定性验算时，施工期和使用期抗浮稳定安全系</w:t>
      </w:r>
      <w:r>
        <w:rPr>
          <w:rFonts w:hint="eastAsia"/>
        </w:rPr>
        <w:lastRenderedPageBreak/>
        <w:t>数</w:t>
      </w:r>
      <w:r>
        <w:rPr>
          <w:rFonts w:hint="eastAsia"/>
          <w:i/>
        </w:rPr>
        <w:t>K</w:t>
      </w:r>
      <w:r>
        <w:rPr>
          <w:rFonts w:hint="eastAsia"/>
          <w:vertAlign w:val="subscript"/>
        </w:rPr>
        <w:t>w</w:t>
      </w:r>
      <w:r>
        <w:rPr>
          <w:rFonts w:hint="eastAsia"/>
        </w:rPr>
        <w:t>均不宜小于</w:t>
      </w:r>
      <w:r>
        <w:rPr>
          <w:rFonts w:hint="eastAsia"/>
        </w:rPr>
        <w:t>1.1</w:t>
      </w:r>
      <w:r>
        <w:rPr>
          <w:rFonts w:hint="eastAsia"/>
        </w:rPr>
        <w:t>。</w:t>
      </w:r>
    </w:p>
    <w:p w14:paraId="3627555E" w14:textId="77777777" w:rsidR="00622EE7" w:rsidRDefault="00E60909">
      <w:pPr>
        <w:pStyle w:val="af3"/>
        <w:numPr>
          <w:ilvl w:val="0"/>
          <w:numId w:val="17"/>
        </w:numPr>
        <w:ind w:left="0" w:firstLineChars="0" w:firstLine="0"/>
        <w:contextualSpacing/>
        <w:rPr>
          <w:rFonts w:ascii="宋体" w:hAnsi="宋体"/>
        </w:rPr>
      </w:pPr>
      <w:r>
        <w:rPr>
          <w:rFonts w:ascii="楷体" w:eastAsia="楷体" w:hAnsi="楷体" w:hint="eastAsia"/>
        </w:rPr>
        <w:t>【品质项】</w:t>
      </w:r>
      <w:r>
        <w:rPr>
          <w:rFonts w:ascii="宋体" w:hAnsi="宋体" w:hint="eastAsia"/>
        </w:rPr>
        <w:t>小区围墙应采用混凝土基础，基底应平整压实，并应根据风荷载、墙高、墙厚、埋深、基底承载力等具体计算确定。</w:t>
      </w:r>
    </w:p>
    <w:p w14:paraId="1E02CCF2" w14:textId="77777777" w:rsidR="00622EE7" w:rsidRDefault="00E60909">
      <w:pPr>
        <w:pStyle w:val="1"/>
      </w:pPr>
      <w:bookmarkStart w:id="43" w:name="_Toc182841358"/>
      <w:r>
        <w:lastRenderedPageBreak/>
        <w:t xml:space="preserve">8 </w:t>
      </w:r>
      <w:r>
        <w:rPr>
          <w:rFonts w:hint="eastAsia"/>
        </w:rPr>
        <w:t>建筑材料和构造</w:t>
      </w:r>
      <w:bookmarkEnd w:id="43"/>
    </w:p>
    <w:p w14:paraId="6C7D1290" w14:textId="77777777" w:rsidR="00622EE7" w:rsidRDefault="00E60909">
      <w:pPr>
        <w:spacing w:beforeLines="50" w:before="163" w:afterLines="50" w:after="163" w:line="360" w:lineRule="auto"/>
        <w:jc w:val="center"/>
        <w:outlineLvl w:val="1"/>
        <w:rPr>
          <w:rFonts w:ascii="Times New Roman" w:eastAsia="黑体" w:hAnsi="Times New Roman"/>
        </w:rPr>
      </w:pPr>
      <w:bookmarkStart w:id="44" w:name="_Toc182841359"/>
      <w:r>
        <w:rPr>
          <w:rFonts w:ascii="Times New Roman" w:eastAsia="黑体" w:hAnsi="Times New Roman"/>
        </w:rPr>
        <w:t xml:space="preserve">8.1 </w:t>
      </w:r>
      <w:r>
        <w:rPr>
          <w:rFonts w:ascii="Times New Roman" w:eastAsia="黑体" w:hAnsi="Times New Roman" w:hint="eastAsia"/>
        </w:rPr>
        <w:t>隔声</w:t>
      </w:r>
      <w:bookmarkEnd w:id="44"/>
    </w:p>
    <w:p w14:paraId="153E166D" w14:textId="77777777" w:rsidR="00622EE7" w:rsidRDefault="00E60909">
      <w:pPr>
        <w:pStyle w:val="af8"/>
        <w:numPr>
          <w:ilvl w:val="0"/>
          <w:numId w:val="18"/>
        </w:numPr>
        <w:ind w:left="0" w:firstLine="0"/>
        <w:rPr>
          <w:rFonts w:ascii="楷体" w:eastAsia="楷体" w:hAnsi="楷体"/>
        </w:rPr>
      </w:pPr>
      <w:bookmarkStart w:id="45" w:name="_Toc182841360"/>
      <w:r>
        <w:rPr>
          <w:rFonts w:ascii="楷体" w:eastAsia="楷体" w:hAnsi="楷体" w:hint="eastAsia"/>
        </w:rPr>
        <w:t>【基础项】</w:t>
      </w:r>
      <w:r>
        <w:rPr>
          <w:rFonts w:hint="eastAsia"/>
        </w:rPr>
        <w:t>应根据项目情况采取措施提升分户墙、内隔墙、外墙、外窗、楼板的隔声性能，设备管线应进行隔声降噪，保证住宅有良好的声环境。不得低于现行国家标准《住宅项目规范》</w:t>
      </w:r>
      <w:r>
        <w:rPr>
          <w:rFonts w:hint="eastAsia"/>
        </w:rPr>
        <w:t>G</w:t>
      </w:r>
      <w:r>
        <w:t>B 55038</w:t>
      </w:r>
      <w:r>
        <w:rPr>
          <w:rFonts w:hint="eastAsia"/>
        </w:rPr>
        <w:t>的要求。</w:t>
      </w:r>
    </w:p>
    <w:p w14:paraId="09EF0DAC" w14:textId="77777777" w:rsidR="00622EE7" w:rsidRDefault="00E60909">
      <w:pPr>
        <w:pStyle w:val="af8"/>
        <w:numPr>
          <w:ilvl w:val="0"/>
          <w:numId w:val="18"/>
        </w:numPr>
        <w:ind w:left="0" w:firstLine="0"/>
        <w:rPr>
          <w:rFonts w:ascii="等线" w:hAnsi="等线"/>
        </w:rPr>
      </w:pPr>
      <w:r>
        <w:rPr>
          <w:rFonts w:ascii="楷体" w:eastAsia="楷体" w:hAnsi="楷体" w:hint="eastAsia"/>
        </w:rPr>
        <w:t>【品质项】</w:t>
      </w:r>
      <w:r>
        <w:rPr>
          <w:rFonts w:hint="eastAsia"/>
        </w:rPr>
        <w:t>分户墙空气声隔声量（计权隔声量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粉红噪声频谱修正量</w:t>
      </w:r>
      <w:r>
        <w:rPr>
          <w:rFonts w:hint="eastAsia"/>
          <w:i/>
        </w:rPr>
        <w:t>C</w:t>
      </w:r>
      <w:r>
        <w:rPr>
          <w:rFonts w:hint="eastAsia"/>
        </w:rPr>
        <w:t>）应＞</w:t>
      </w:r>
      <w:r>
        <w:rPr>
          <w:rFonts w:hint="eastAsia"/>
        </w:rPr>
        <w:t>50dB</w:t>
      </w:r>
      <w:r>
        <w:rPr>
          <w:rFonts w:hint="eastAsia"/>
        </w:rPr>
        <w:t>。分户墙可采用</w:t>
      </w:r>
      <w:r>
        <w:rPr>
          <w:rFonts w:hint="eastAsia"/>
        </w:rPr>
        <w:t>现浇钢筋混凝土、混凝土砌块、装配式条板等材料，并应满足下列规定：</w:t>
      </w:r>
    </w:p>
    <w:p w14:paraId="32EC2A32" w14:textId="77777777" w:rsidR="00622EE7" w:rsidRDefault="00E60909">
      <w:pPr>
        <w:pStyle w:val="af8"/>
        <w:numPr>
          <w:ilvl w:val="0"/>
          <w:numId w:val="19"/>
        </w:numPr>
        <w:ind w:left="0" w:firstLineChars="200" w:firstLine="480"/>
      </w:pPr>
      <w:r>
        <w:rPr>
          <w:rFonts w:hint="eastAsia"/>
        </w:rPr>
        <w:t>当采用现浇钢筋混凝土分户墙时，墙体厚度不应小于</w:t>
      </w:r>
      <w:r>
        <w:rPr>
          <w:rFonts w:hint="eastAsia"/>
        </w:rPr>
        <w:t>150mm</w:t>
      </w:r>
      <w:r>
        <w:rPr>
          <w:rFonts w:hint="eastAsia"/>
        </w:rPr>
        <w:t>；</w:t>
      </w:r>
    </w:p>
    <w:p w14:paraId="291B882C" w14:textId="77777777" w:rsidR="00622EE7" w:rsidRDefault="00E60909">
      <w:pPr>
        <w:pStyle w:val="af8"/>
        <w:numPr>
          <w:ilvl w:val="0"/>
          <w:numId w:val="19"/>
        </w:numPr>
        <w:ind w:left="0" w:firstLineChars="200" w:firstLine="480"/>
      </w:pPr>
      <w:r>
        <w:rPr>
          <w:rFonts w:hint="eastAsia"/>
        </w:rPr>
        <w:t>当采用混凝土</w:t>
      </w:r>
      <w:r>
        <w:rPr>
          <w:rFonts w:hint="eastAsia"/>
        </w:rPr>
        <w:t>+</w:t>
      </w:r>
      <w:r>
        <w:rPr>
          <w:rFonts w:hint="eastAsia"/>
        </w:rPr>
        <w:t>砌块组合分户墙时，墙体厚度不应小于</w:t>
      </w:r>
      <w:r>
        <w:rPr>
          <w:rFonts w:hint="eastAsia"/>
        </w:rPr>
        <w:t>200mm</w:t>
      </w:r>
      <w:r>
        <w:rPr>
          <w:rFonts w:hint="eastAsia"/>
        </w:rPr>
        <w:t>，混凝土与砌块的面积比应大于</w:t>
      </w:r>
      <w:r>
        <w:rPr>
          <w:rFonts w:hint="eastAsia"/>
        </w:rPr>
        <w:t>3:1</w:t>
      </w:r>
      <w:r>
        <w:rPr>
          <w:rFonts w:hint="eastAsia"/>
        </w:rPr>
        <w:t>，且混凝土砌块的干密度应为</w:t>
      </w:r>
      <w:r>
        <w:rPr>
          <w:rFonts w:hint="eastAsia"/>
        </w:rPr>
        <w:t>B06</w:t>
      </w:r>
      <w:r>
        <w:rPr>
          <w:rFonts w:hint="eastAsia"/>
        </w:rPr>
        <w:t>级及以上、厚度不应小于</w:t>
      </w:r>
      <w:r>
        <w:rPr>
          <w:rFonts w:hint="eastAsia"/>
        </w:rPr>
        <w:t>160mm</w:t>
      </w:r>
      <w:r>
        <w:rPr>
          <w:rFonts w:hint="eastAsia"/>
        </w:rPr>
        <w:t>，墙体双面抹灰厚度不应小于</w:t>
      </w:r>
      <w:r>
        <w:rPr>
          <w:rFonts w:hint="eastAsia"/>
        </w:rPr>
        <w:t>20mm</w:t>
      </w:r>
      <w:r>
        <w:rPr>
          <w:rFonts w:hint="eastAsia"/>
        </w:rPr>
        <w:t>；</w:t>
      </w:r>
    </w:p>
    <w:p w14:paraId="2043C8D1" w14:textId="77777777" w:rsidR="00622EE7" w:rsidRDefault="00E60909">
      <w:pPr>
        <w:pStyle w:val="af8"/>
        <w:numPr>
          <w:ilvl w:val="0"/>
          <w:numId w:val="19"/>
        </w:numPr>
        <w:ind w:left="0" w:firstLineChars="200" w:firstLine="480"/>
      </w:pPr>
      <w:r>
        <w:rPr>
          <w:rFonts w:hint="eastAsia"/>
        </w:rPr>
        <w:t>采用装配式条板分户墙时，宜采用双层复合轻质墙体构造，每层装配式条板的厚度不应小于</w:t>
      </w:r>
      <w:r>
        <w:rPr>
          <w:rFonts w:hint="eastAsia"/>
        </w:rPr>
        <w:t>75mm</w:t>
      </w:r>
      <w:r>
        <w:rPr>
          <w:rFonts w:hint="eastAsia"/>
        </w:rPr>
        <w:t>，隔声保温填充层应为岩棉或者玻璃棉。</w:t>
      </w:r>
    </w:p>
    <w:p w14:paraId="637BC2AE" w14:textId="77777777" w:rsidR="00622EE7" w:rsidRDefault="00E60909">
      <w:pPr>
        <w:pStyle w:val="af8"/>
        <w:numPr>
          <w:ilvl w:val="0"/>
          <w:numId w:val="18"/>
        </w:numPr>
        <w:ind w:left="0" w:firstLine="0"/>
      </w:pPr>
      <w:r>
        <w:rPr>
          <w:rFonts w:ascii="楷体" w:eastAsia="楷体" w:hAnsi="楷体" w:hint="eastAsia"/>
        </w:rPr>
        <w:t>【品质项】</w:t>
      </w:r>
      <w:r>
        <w:rPr>
          <w:rFonts w:hint="eastAsia"/>
        </w:rPr>
        <w:t>户内卧室隔墙空气声隔声量（计权隔声量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粉红噪声频谱修正量</w:t>
      </w:r>
      <w:r>
        <w:rPr>
          <w:rFonts w:hint="eastAsia"/>
          <w:i/>
        </w:rPr>
        <w:t>C</w:t>
      </w:r>
      <w:r>
        <w:rPr>
          <w:rFonts w:hint="eastAsia"/>
        </w:rPr>
        <w:t>）应＞</w:t>
      </w:r>
      <w:r>
        <w:rPr>
          <w:rFonts w:hint="eastAsia"/>
        </w:rPr>
        <w:t>35 dB</w:t>
      </w:r>
      <w:r>
        <w:rPr>
          <w:rFonts w:hint="eastAsia"/>
        </w:rPr>
        <w:t>。</w:t>
      </w:r>
    </w:p>
    <w:p w14:paraId="1DE8755D"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【品质项】</w:t>
      </w:r>
      <w:r>
        <w:rPr>
          <w:rFonts w:hint="eastAsia"/>
        </w:rPr>
        <w:t>住宅管线、设备与隔墙应进行一体化设计，当相邻两个房间在隔墙的同一部位安装开关、插座时，应进行错位安装，错开距离应在</w:t>
      </w:r>
      <w:r>
        <w:t>150mm</w:t>
      </w:r>
      <w:r>
        <w:rPr>
          <w:rFonts w:hint="eastAsia"/>
        </w:rPr>
        <w:t>以上，安装时不应直接穿透墙体，并应采用不燃材料进行空隙封堵。</w:t>
      </w:r>
    </w:p>
    <w:p w14:paraId="79EB36B1" w14:textId="77777777" w:rsidR="00622EE7" w:rsidRDefault="00E60909">
      <w:pPr>
        <w:pStyle w:val="af8"/>
        <w:numPr>
          <w:ilvl w:val="0"/>
          <w:numId w:val="18"/>
        </w:numPr>
        <w:ind w:left="0" w:firstLine="0"/>
      </w:pPr>
      <w:r>
        <w:rPr>
          <w:rFonts w:ascii="楷体" w:eastAsia="楷体" w:hAnsi="楷体" w:hint="eastAsia"/>
        </w:rPr>
        <w:t>【品质项】</w:t>
      </w:r>
      <w:r>
        <w:rPr>
          <w:rFonts w:hint="eastAsia"/>
        </w:rPr>
        <w:t>强、弱电配电箱</w:t>
      </w:r>
      <w:r>
        <w:rPr>
          <w:rFonts w:hint="eastAsia"/>
        </w:rPr>
        <w:t>(</w:t>
      </w:r>
      <w:r>
        <w:rPr>
          <w:rFonts w:hint="eastAsia"/>
        </w:rPr>
        <w:t>盘</w:t>
      </w:r>
      <w:r>
        <w:rPr>
          <w:rFonts w:hint="eastAsia"/>
        </w:rPr>
        <w:t>)</w:t>
      </w:r>
      <w:proofErr w:type="gramStart"/>
      <w:r>
        <w:rPr>
          <w:rFonts w:hint="eastAsia"/>
        </w:rPr>
        <w:t>嵌墙安装</w:t>
      </w:r>
      <w:proofErr w:type="gramEnd"/>
      <w:r>
        <w:rPr>
          <w:rFonts w:hint="eastAsia"/>
        </w:rPr>
        <w:t>时，对应的墙体厚度不应小于</w:t>
      </w:r>
      <w:r>
        <w:rPr>
          <w:rFonts w:hint="eastAsia"/>
        </w:rPr>
        <w:t>200mm</w:t>
      </w:r>
      <w:r>
        <w:rPr>
          <w:rFonts w:hint="eastAsia"/>
        </w:rPr>
        <w:t>。</w:t>
      </w:r>
    </w:p>
    <w:p w14:paraId="4F9E1032"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【品质项】</w:t>
      </w:r>
      <w:r>
        <w:rPr>
          <w:rFonts w:hint="eastAsia"/>
        </w:rPr>
        <w:t>住宅建筑内的设备，应优先选用噪声与振动影响较小的产品。</w:t>
      </w:r>
    </w:p>
    <w:p w14:paraId="7DE03D94"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【品质项】</w:t>
      </w:r>
      <w:r>
        <w:rPr>
          <w:rFonts w:hint="eastAsia"/>
        </w:rPr>
        <w:t>设备机房内及其相邻楼层的管道穿墙处应设置套管，可采用</w:t>
      </w:r>
      <w:proofErr w:type="gramStart"/>
      <w:r>
        <w:rPr>
          <w:rFonts w:hint="eastAsia"/>
        </w:rPr>
        <w:t>隔震垫或</w:t>
      </w:r>
      <w:proofErr w:type="gramEnd"/>
      <w:r>
        <w:rPr>
          <w:rFonts w:hint="eastAsia"/>
        </w:rPr>
        <w:t>其他隔振材料进行处理，且管道不应与墙体刚性连接。</w:t>
      </w:r>
    </w:p>
    <w:p w14:paraId="1EA75ACB" w14:textId="77777777" w:rsidR="00622EE7" w:rsidRDefault="00E60909">
      <w:pPr>
        <w:pStyle w:val="af8"/>
        <w:numPr>
          <w:ilvl w:val="0"/>
          <w:numId w:val="18"/>
        </w:numPr>
        <w:ind w:left="0" w:firstLine="0"/>
        <w:rPr>
          <w:rFonts w:ascii="等线" w:hAnsi="等线"/>
        </w:rPr>
      </w:pPr>
      <w:r>
        <w:rPr>
          <w:rFonts w:ascii="楷体" w:eastAsia="楷体" w:hAnsi="楷体" w:hint="eastAsia"/>
        </w:rPr>
        <w:t>【基础项】</w:t>
      </w:r>
      <w:r>
        <w:rPr>
          <w:rFonts w:hint="eastAsia"/>
        </w:rPr>
        <w:t>外墙的空气声隔声量（计权隔声量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交通噪声频谱修正量</w:t>
      </w:r>
      <w:r>
        <w:rPr>
          <w:rFonts w:hint="eastAsia"/>
          <w:i/>
        </w:rPr>
        <w:t>C</w:t>
      </w:r>
      <w:r>
        <w:rPr>
          <w:rFonts w:hint="eastAsia"/>
          <w:vertAlign w:val="subscript"/>
        </w:rPr>
        <w:t>tr</w:t>
      </w:r>
      <w:r>
        <w:rPr>
          <w:rFonts w:hint="eastAsia"/>
        </w:rPr>
        <w:t>）应≥</w:t>
      </w:r>
      <w:r>
        <w:rPr>
          <w:rFonts w:hint="eastAsia"/>
        </w:rPr>
        <w:t>45 dB</w:t>
      </w:r>
      <w:r>
        <w:rPr>
          <w:rFonts w:hint="eastAsia"/>
        </w:rPr>
        <w:t>。</w:t>
      </w:r>
    </w:p>
    <w:p w14:paraId="1552D353" w14:textId="77777777" w:rsidR="00622EE7" w:rsidRDefault="00E60909">
      <w:pPr>
        <w:pStyle w:val="af8"/>
        <w:numPr>
          <w:ilvl w:val="0"/>
          <w:numId w:val="18"/>
        </w:numPr>
        <w:ind w:left="0" w:firstLine="0"/>
      </w:pPr>
      <w:r>
        <w:rPr>
          <w:rFonts w:ascii="楷体" w:eastAsia="楷体" w:hAnsi="楷体" w:hint="eastAsia"/>
        </w:rPr>
        <w:t>【基础项】</w:t>
      </w:r>
      <w:r>
        <w:rPr>
          <w:rFonts w:hint="eastAsia"/>
        </w:rPr>
        <w:t>外窗应采用三</w:t>
      </w:r>
      <w:proofErr w:type="gramStart"/>
      <w:r>
        <w:rPr>
          <w:rFonts w:hint="eastAsia"/>
        </w:rPr>
        <w:t>玻</w:t>
      </w:r>
      <w:proofErr w:type="gramEnd"/>
      <w:r>
        <w:rPr>
          <w:rFonts w:hint="eastAsia"/>
        </w:rPr>
        <w:t>两腔及以上中空玻璃、真空玻璃、夹胶玻璃。</w:t>
      </w:r>
    </w:p>
    <w:p w14:paraId="2581C5C2" w14:textId="77777777" w:rsidR="00622EE7" w:rsidRDefault="00E60909">
      <w:pPr>
        <w:pStyle w:val="af8"/>
        <w:numPr>
          <w:ilvl w:val="0"/>
          <w:numId w:val="18"/>
        </w:numPr>
        <w:ind w:left="0" w:firstLine="0"/>
      </w:pPr>
      <w:r>
        <w:rPr>
          <w:rFonts w:hint="eastAsia"/>
        </w:rPr>
        <w:lastRenderedPageBreak/>
        <w:t>【</w:t>
      </w:r>
      <w:r>
        <w:rPr>
          <w:rFonts w:ascii="楷体" w:eastAsia="楷体" w:hAnsi="楷体" w:hint="eastAsia"/>
        </w:rPr>
        <w:t>基础项】</w:t>
      </w:r>
      <w:r>
        <w:rPr>
          <w:rFonts w:ascii="宋体" w:hAnsi="宋体" w:hint="eastAsia"/>
        </w:rPr>
        <w:t>临街住宅建筑</w:t>
      </w:r>
      <w:proofErr w:type="gramStart"/>
      <w:r>
        <w:rPr>
          <w:rFonts w:ascii="宋体" w:hAnsi="宋体" w:hint="eastAsia"/>
        </w:rPr>
        <w:t>朝交通</w:t>
      </w:r>
      <w:proofErr w:type="gramEnd"/>
      <w:r>
        <w:rPr>
          <w:rFonts w:ascii="宋体" w:hAnsi="宋体" w:hint="eastAsia"/>
        </w:rPr>
        <w:t>干线侧卧室外门</w:t>
      </w:r>
      <w:r>
        <w:rPr>
          <w:rFonts w:hint="eastAsia"/>
        </w:rPr>
        <w:t>窗空气声隔声量（计权隔声量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交通噪声频谱修正量</w:t>
      </w:r>
      <w:r>
        <w:rPr>
          <w:rFonts w:hint="eastAsia"/>
          <w:i/>
        </w:rPr>
        <w:t>C</w:t>
      </w:r>
      <w:r>
        <w:rPr>
          <w:rFonts w:hint="eastAsia"/>
          <w:vertAlign w:val="subscript"/>
        </w:rPr>
        <w:t>tr</w:t>
      </w:r>
      <w:r>
        <w:rPr>
          <w:rFonts w:hint="eastAsia"/>
        </w:rPr>
        <w:t>）应≥</w:t>
      </w:r>
      <w:r>
        <w:rPr>
          <w:rFonts w:hint="eastAsia"/>
        </w:rPr>
        <w:t>3</w:t>
      </w:r>
      <w:r>
        <w:t>5</w:t>
      </w:r>
      <w:r>
        <w:rPr>
          <w:rFonts w:hint="eastAsia"/>
        </w:rPr>
        <w:t xml:space="preserve"> dB</w:t>
      </w:r>
      <w:r>
        <w:rPr>
          <w:rFonts w:hint="eastAsia"/>
        </w:rPr>
        <w:t>，其他外门窗空气声隔声量（计权隔声量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交通噪声频谱修正量</w:t>
      </w:r>
      <w:r>
        <w:rPr>
          <w:rFonts w:hint="eastAsia"/>
          <w:i/>
        </w:rPr>
        <w:t>C</w:t>
      </w:r>
      <w:r>
        <w:rPr>
          <w:rFonts w:hint="eastAsia"/>
          <w:vertAlign w:val="subscript"/>
        </w:rPr>
        <w:t>tr</w:t>
      </w:r>
      <w:r>
        <w:rPr>
          <w:rFonts w:hint="eastAsia"/>
        </w:rPr>
        <w:t>）应≥</w:t>
      </w:r>
      <w:r>
        <w:rPr>
          <w:rFonts w:hint="eastAsia"/>
        </w:rPr>
        <w:t>3</w:t>
      </w:r>
      <w:r>
        <w:t>0</w:t>
      </w:r>
      <w:r>
        <w:rPr>
          <w:rFonts w:hint="eastAsia"/>
        </w:rPr>
        <w:t>d</w:t>
      </w:r>
      <w:r>
        <w:t>B</w:t>
      </w:r>
      <w:r>
        <w:rPr>
          <w:rFonts w:hint="eastAsia"/>
        </w:rPr>
        <w:t>。</w:t>
      </w:r>
    </w:p>
    <w:p w14:paraId="7E8C7C90" w14:textId="77777777" w:rsidR="00622EE7" w:rsidRDefault="00E60909">
      <w:pPr>
        <w:pStyle w:val="af3"/>
        <w:numPr>
          <w:ilvl w:val="0"/>
          <w:numId w:val="18"/>
        </w:numPr>
        <w:spacing w:beforeLines="25" w:before="81"/>
        <w:ind w:left="0" w:firstLineChars="0" w:firstLine="0"/>
        <w:contextualSpacing/>
        <w:rPr>
          <w:rFonts w:ascii="宋体" w:hAnsi="宋体"/>
        </w:rPr>
      </w:pPr>
      <w:r>
        <w:rPr>
          <w:rFonts w:ascii="楷体" w:eastAsia="楷体" w:hAnsi="楷体" w:hint="eastAsia"/>
        </w:rPr>
        <w:t>【品质项】</w:t>
      </w:r>
      <w:r>
        <w:rPr>
          <w:rFonts w:ascii="宋体" w:hAnsi="宋体" w:hint="eastAsia"/>
        </w:rPr>
        <w:t>窗扇与窗框之间、玻璃与窗扇之间应设置密封条，密封条应采用耐久性好的弹性材质，安装应完整、牢固，不得托槽。</w:t>
      </w:r>
    </w:p>
    <w:p w14:paraId="6E939F63" w14:textId="77777777" w:rsidR="00622EE7" w:rsidRDefault="00E60909">
      <w:pPr>
        <w:pStyle w:val="af3"/>
        <w:numPr>
          <w:ilvl w:val="0"/>
          <w:numId w:val="18"/>
        </w:numPr>
        <w:spacing w:beforeLines="25" w:before="81"/>
        <w:ind w:left="0" w:firstLineChars="0" w:firstLine="0"/>
        <w:contextualSpacing/>
        <w:rPr>
          <w:rFonts w:ascii="宋体" w:hAnsi="宋体"/>
        </w:rPr>
      </w:pPr>
      <w:r>
        <w:rPr>
          <w:rFonts w:ascii="楷体" w:eastAsia="楷体" w:hAnsi="楷体" w:hint="eastAsia"/>
        </w:rPr>
        <w:t>【提升项】</w:t>
      </w:r>
      <w:r>
        <w:rPr>
          <w:rFonts w:ascii="宋体" w:hAnsi="宋体" w:hint="eastAsia"/>
        </w:rPr>
        <w:t>通风隔声窗应选用带有消声作用的通风器，通风</w:t>
      </w:r>
      <w:r>
        <w:rPr>
          <w:rFonts w:ascii="宋体" w:hAnsi="宋体" w:hint="eastAsia"/>
        </w:rPr>
        <w:t>器关闭时通风隔声窗隔声性能不应低于相同构造和玻璃配置的固定窗。</w:t>
      </w:r>
    </w:p>
    <w:p w14:paraId="30569B91"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【基础项】</w:t>
      </w:r>
      <w:r>
        <w:rPr>
          <w:rFonts w:hint="eastAsia"/>
        </w:rPr>
        <w:t>卧室、起居室（厅）的分户楼板撞击声隔声（计权标准化撞击声压级</w:t>
      </w:r>
      <w:r>
        <w:rPr>
          <w:i/>
        </w:rPr>
        <w:t>L</w:t>
      </w:r>
      <w:r>
        <w:rPr>
          <w:vertAlign w:val="subscript"/>
        </w:rPr>
        <w:t>n</w:t>
      </w:r>
      <w:r>
        <w:rPr>
          <w:rFonts w:hint="eastAsia"/>
          <w:vertAlign w:val="subscript"/>
        </w:rPr>
        <w:t>，</w:t>
      </w:r>
      <w:r>
        <w:rPr>
          <w:vertAlign w:val="subscript"/>
        </w:rPr>
        <w:t>w</w:t>
      </w:r>
      <w:r>
        <w:rPr>
          <w:rFonts w:hint="eastAsia"/>
        </w:rPr>
        <w:t>）应</w:t>
      </w:r>
      <w:r>
        <w:t>≤65 dB</w:t>
      </w:r>
      <w:r>
        <w:rPr>
          <w:rFonts w:hint="eastAsia"/>
        </w:rPr>
        <w:t>。住宅建筑楼板可采用提升楼板厚度、增设弹性面层、</w:t>
      </w:r>
      <w:proofErr w:type="gramStart"/>
      <w:r>
        <w:rPr>
          <w:rFonts w:hint="eastAsia"/>
        </w:rPr>
        <w:t>浮筑楼板</w:t>
      </w:r>
      <w:proofErr w:type="gramEnd"/>
      <w:r>
        <w:rPr>
          <w:rFonts w:hint="eastAsia"/>
        </w:rPr>
        <w:t>等措施改善楼板撞击声隔声性能。</w:t>
      </w:r>
    </w:p>
    <w:p w14:paraId="1FCCAB02"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【提升项】</w:t>
      </w:r>
      <w:r>
        <w:rPr>
          <w:rFonts w:hint="eastAsia"/>
        </w:rPr>
        <w:t>当</w:t>
      </w:r>
      <w:proofErr w:type="gramStart"/>
      <w:r>
        <w:rPr>
          <w:rFonts w:hint="eastAsia"/>
        </w:rPr>
        <w:t>采用浮筑楼板</w:t>
      </w:r>
      <w:proofErr w:type="gramEnd"/>
      <w:r>
        <w:rPr>
          <w:rFonts w:hint="eastAsia"/>
        </w:rPr>
        <w:t>时，结构层应为钢筋混凝土楼板或叠合楼板，且楼板厚度不应小于</w:t>
      </w:r>
      <w:r>
        <w:t>120mm</w:t>
      </w:r>
      <w:r>
        <w:rPr>
          <w:rFonts w:hint="eastAsia"/>
        </w:rPr>
        <w:t>。</w:t>
      </w:r>
      <w:proofErr w:type="gramStart"/>
      <w:r>
        <w:rPr>
          <w:rFonts w:hint="eastAsia"/>
        </w:rPr>
        <w:t>浮筑楼板</w:t>
      </w:r>
      <w:proofErr w:type="gramEnd"/>
      <w:r>
        <w:rPr>
          <w:rFonts w:hint="eastAsia"/>
        </w:rPr>
        <w:t>的隔声保温层宜采用隔声保温垫构造，并应满足下列规定：</w:t>
      </w:r>
    </w:p>
    <w:p w14:paraId="09C941D3" w14:textId="77777777" w:rsidR="00622EE7" w:rsidRDefault="00E60909">
      <w:pPr>
        <w:pStyle w:val="af8"/>
        <w:numPr>
          <w:ilvl w:val="0"/>
          <w:numId w:val="20"/>
        </w:numPr>
        <w:ind w:left="0" w:firstLineChars="200" w:firstLine="480"/>
      </w:pPr>
      <w:r>
        <w:rPr>
          <w:rFonts w:hint="eastAsia"/>
        </w:rPr>
        <w:t>采用隔声保温垫构造时，可采用橡塑、改性聚丙烯、聚氨酯、石墨聚苯乙烯隔声保温垫，其厚度不应小于</w:t>
      </w:r>
      <w:r>
        <w:rPr>
          <w:rFonts w:hint="eastAsia"/>
        </w:rPr>
        <w:t>8mm</w:t>
      </w:r>
      <w:r>
        <w:rPr>
          <w:rFonts w:hint="eastAsia"/>
        </w:rPr>
        <w:t>，也可采用交联聚乙烯复合石墨聚苯乙烯、交联聚乙烯复合挤塑聚苯乙烯、交联聚乙烯复合聚氨酯等复合材质隔声保温垫，其厚度不应小于</w:t>
      </w:r>
      <w:r>
        <w:t>20</w:t>
      </w:r>
      <w:r>
        <w:rPr>
          <w:rFonts w:hint="eastAsia"/>
        </w:rPr>
        <w:t>mm</w:t>
      </w:r>
      <w:r>
        <w:rPr>
          <w:rFonts w:hint="eastAsia"/>
        </w:rPr>
        <w:t>；</w:t>
      </w:r>
    </w:p>
    <w:p w14:paraId="08EEE3D1" w14:textId="77777777" w:rsidR="00622EE7" w:rsidRDefault="00E60909">
      <w:pPr>
        <w:pStyle w:val="af8"/>
        <w:numPr>
          <w:ilvl w:val="0"/>
          <w:numId w:val="20"/>
        </w:numPr>
        <w:ind w:left="0" w:firstLineChars="200" w:firstLine="480"/>
      </w:pPr>
      <w:proofErr w:type="gramStart"/>
      <w:r>
        <w:rPr>
          <w:rFonts w:hint="eastAsia"/>
        </w:rPr>
        <w:t>采用浮筑楼板</w:t>
      </w:r>
      <w:proofErr w:type="gramEnd"/>
      <w:r>
        <w:rPr>
          <w:rFonts w:hint="eastAsia"/>
        </w:rPr>
        <w:t>隔声保温构造时，墙体四周应设置竖向隔声片，其材质宜与隔声保温垫一致，且厚度不应小于</w:t>
      </w:r>
      <w:r>
        <w:rPr>
          <w:rFonts w:hint="eastAsia"/>
        </w:rPr>
        <w:t>5mm</w:t>
      </w:r>
      <w:r>
        <w:rPr>
          <w:rFonts w:hint="eastAsia"/>
        </w:rPr>
        <w:t>、高度应高于饰面层表面，且竖向隔声片与隔声保温</w:t>
      </w:r>
      <w:proofErr w:type="gramStart"/>
      <w:r>
        <w:rPr>
          <w:rFonts w:hint="eastAsia"/>
        </w:rPr>
        <w:t>垫之间</w:t>
      </w:r>
      <w:proofErr w:type="gramEnd"/>
      <w:r>
        <w:rPr>
          <w:rFonts w:hint="eastAsia"/>
        </w:rPr>
        <w:t>的接缝宽度不应大于</w:t>
      </w:r>
      <w:r>
        <w:rPr>
          <w:rFonts w:hint="eastAsia"/>
        </w:rPr>
        <w:t>1mm</w:t>
      </w:r>
      <w:r>
        <w:rPr>
          <w:rFonts w:hint="eastAsia"/>
        </w:rPr>
        <w:t>。</w:t>
      </w:r>
    </w:p>
    <w:p w14:paraId="4FA68A30"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【创新项】</w:t>
      </w:r>
      <w:r>
        <w:rPr>
          <w:rFonts w:hint="eastAsia"/>
        </w:rPr>
        <w:t>住宅室内排水管道宜采用橡塑、聚酯纤维吸声棉、波浪棉、复合吸声棉、丁基胶阻尼隔振片进行管道包覆，橡塑厚度为</w:t>
      </w:r>
      <w:r>
        <w:t>15mm</w:t>
      </w:r>
      <w:r>
        <w:rPr>
          <w:rFonts w:hint="eastAsia"/>
        </w:rPr>
        <w:t>或</w:t>
      </w:r>
      <w:r>
        <w:t>20mm</w:t>
      </w:r>
      <w:r>
        <w:rPr>
          <w:rFonts w:hint="eastAsia"/>
        </w:rPr>
        <w:t>，聚酯纤维吸声棉密度可为</w:t>
      </w:r>
      <w:r>
        <w:t>400g/m</w:t>
      </w:r>
      <w:r>
        <w:rPr>
          <w:vertAlign w:val="superscript"/>
        </w:rPr>
        <w:t>3</w:t>
      </w:r>
      <w:r>
        <w:rPr>
          <w:rFonts w:hint="eastAsia"/>
        </w:rPr>
        <w:t>或</w:t>
      </w:r>
      <w:r>
        <w:t>800g/m</w:t>
      </w:r>
      <w:r>
        <w:rPr>
          <w:vertAlign w:val="superscript"/>
        </w:rPr>
        <w:t>3</w:t>
      </w:r>
      <w:r>
        <w:rPr>
          <w:rFonts w:hint="eastAsia"/>
        </w:rPr>
        <w:t>，波浪棉厚度可为</w:t>
      </w:r>
      <w:r>
        <w:t>15mm</w:t>
      </w:r>
      <w:r>
        <w:rPr>
          <w:rFonts w:hint="eastAsia"/>
        </w:rPr>
        <w:t>或</w:t>
      </w:r>
      <w:r>
        <w:t>20mm</w:t>
      </w:r>
      <w:r>
        <w:rPr>
          <w:rFonts w:hint="eastAsia"/>
        </w:rPr>
        <w:t>，复合吸声棉厚度可为</w:t>
      </w:r>
      <w:r>
        <w:t>15mm</w:t>
      </w:r>
      <w:r>
        <w:rPr>
          <w:rFonts w:hint="eastAsia"/>
        </w:rPr>
        <w:t>，丁基胶阻尼隔振片厚度可为</w:t>
      </w:r>
      <w:r>
        <w:t>2mm</w:t>
      </w:r>
      <w:r>
        <w:rPr>
          <w:rFonts w:hint="eastAsia"/>
        </w:rPr>
        <w:t>。</w:t>
      </w:r>
    </w:p>
    <w:p w14:paraId="4310354B"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【创新项】</w:t>
      </w:r>
      <w:r>
        <w:rPr>
          <w:rFonts w:hint="eastAsia"/>
        </w:rPr>
        <w:t>可选用地毯、复合木地板、</w:t>
      </w:r>
      <w:r>
        <w:t>SPC</w:t>
      </w:r>
      <w:r>
        <w:rPr>
          <w:rFonts w:hint="eastAsia"/>
        </w:rPr>
        <w:t>地板等弹性面层提升隔声效果。</w:t>
      </w:r>
    </w:p>
    <w:p w14:paraId="5FD960A0" w14:textId="77777777" w:rsidR="00622EE7" w:rsidRDefault="00622EE7">
      <w:pPr>
        <w:pStyle w:val="af3"/>
        <w:spacing w:beforeLines="25" w:before="81"/>
        <w:ind w:firstLineChars="0" w:firstLine="0"/>
        <w:contextualSpacing/>
      </w:pPr>
    </w:p>
    <w:p w14:paraId="315CC6EC" w14:textId="77777777" w:rsidR="00622EE7" w:rsidRDefault="00E60909">
      <w:pPr>
        <w:spacing w:beforeLines="50" w:before="163" w:afterLines="50" w:after="163" w:line="360" w:lineRule="auto"/>
        <w:jc w:val="center"/>
        <w:outlineLvl w:val="1"/>
        <w:rPr>
          <w:rFonts w:ascii="Times New Roman" w:eastAsia="黑体" w:hAnsi="Times New Roman"/>
        </w:rPr>
      </w:pPr>
      <w:r>
        <w:rPr>
          <w:rFonts w:ascii="Times New Roman" w:eastAsia="黑体" w:hAnsi="Times New Roman"/>
        </w:rPr>
        <w:t xml:space="preserve">8.2 </w:t>
      </w:r>
      <w:r>
        <w:rPr>
          <w:rFonts w:ascii="Times New Roman" w:eastAsia="黑体" w:hAnsi="Times New Roman" w:hint="eastAsia"/>
        </w:rPr>
        <w:t>防水</w:t>
      </w:r>
      <w:bookmarkEnd w:id="45"/>
    </w:p>
    <w:p w14:paraId="4F481BAF" w14:textId="77777777" w:rsidR="00622EE7" w:rsidRDefault="00E60909">
      <w:pPr>
        <w:pStyle w:val="af3"/>
        <w:numPr>
          <w:ilvl w:val="0"/>
          <w:numId w:val="21"/>
        </w:numPr>
        <w:ind w:left="0" w:firstLineChars="0" w:firstLine="0"/>
      </w:pPr>
      <w:r>
        <w:rPr>
          <w:rFonts w:ascii="楷体" w:eastAsia="楷体" w:hAnsi="楷体" w:hint="eastAsia"/>
        </w:rPr>
        <w:lastRenderedPageBreak/>
        <w:t>【基础项】</w:t>
      </w:r>
      <w:r>
        <w:rPr>
          <w:rFonts w:hint="eastAsia"/>
        </w:rPr>
        <w:t>地下工程防水设计工作年限不应低于工程结</w:t>
      </w:r>
      <w:r>
        <w:t>构设计工作年限</w:t>
      </w:r>
      <w:r>
        <w:rPr>
          <w:rFonts w:hint="eastAsia"/>
        </w:rPr>
        <w:t>，屋面工程防水设计工作年限不应低于</w:t>
      </w:r>
      <w:r>
        <w:t>20</w:t>
      </w:r>
      <w:r>
        <w:t>年</w:t>
      </w:r>
      <w:r>
        <w:rPr>
          <w:rFonts w:hint="eastAsia"/>
        </w:rPr>
        <w:t>，室内工程防水设计工作年限不应低于</w:t>
      </w:r>
      <w:r>
        <w:rPr>
          <w:rFonts w:hint="eastAsia"/>
        </w:rPr>
        <w:t>2</w:t>
      </w:r>
      <w:r>
        <w:t>5</w:t>
      </w:r>
      <w:r>
        <w:rPr>
          <w:rFonts w:hint="eastAsia"/>
        </w:rPr>
        <w:t>年，外墙工程</w:t>
      </w:r>
      <w:r>
        <w:rPr>
          <w:rFonts w:hint="eastAsia"/>
        </w:rPr>
        <w:t>防水设计工作年限不应低于</w:t>
      </w:r>
      <w:r>
        <w:rPr>
          <w:rFonts w:hint="eastAsia"/>
        </w:rPr>
        <w:t>2</w:t>
      </w:r>
      <w:r>
        <w:t>5</w:t>
      </w:r>
      <w:r>
        <w:rPr>
          <w:rFonts w:hint="eastAsia"/>
        </w:rPr>
        <w:t>年。</w:t>
      </w:r>
    </w:p>
    <w:p w14:paraId="1C5ADB26" w14:textId="77777777" w:rsidR="00622EE7" w:rsidRDefault="00E60909">
      <w:pPr>
        <w:pStyle w:val="af3"/>
        <w:numPr>
          <w:ilvl w:val="0"/>
          <w:numId w:val="21"/>
        </w:numPr>
        <w:ind w:left="0" w:firstLineChars="0" w:firstLine="0"/>
        <w:rPr>
          <w:rFonts w:ascii="宋体" w:hAnsi="宋体"/>
        </w:rPr>
      </w:pPr>
      <w:r>
        <w:rPr>
          <w:rFonts w:ascii="楷体" w:eastAsia="楷体" w:hAnsi="楷体" w:hint="eastAsia"/>
        </w:rPr>
        <w:t>【提升项】</w:t>
      </w:r>
      <w:r>
        <w:rPr>
          <w:rFonts w:ascii="宋体" w:hAnsi="宋体" w:hint="eastAsia"/>
        </w:rPr>
        <w:t>地下室顶板宜采用结构自</w:t>
      </w:r>
      <w:proofErr w:type="gramStart"/>
      <w:r>
        <w:rPr>
          <w:rFonts w:ascii="宋体" w:hAnsi="宋体" w:hint="eastAsia"/>
        </w:rPr>
        <w:t>带找坡</w:t>
      </w:r>
      <w:proofErr w:type="gramEnd"/>
      <w:r>
        <w:rPr>
          <w:rFonts w:ascii="宋体" w:hAnsi="宋体" w:hint="eastAsia"/>
        </w:rPr>
        <w:t>。</w:t>
      </w:r>
    </w:p>
    <w:p w14:paraId="6495FAB9"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地下室防水混凝土应采取减少开裂的技术措施。</w:t>
      </w:r>
    </w:p>
    <w:p w14:paraId="68C074B4"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防水卷材搭接宽度应符合表</w:t>
      </w:r>
      <w:r>
        <w:t>8.2.2</w:t>
      </w:r>
      <w:r>
        <w:t>的规定</w:t>
      </w:r>
    </w:p>
    <w:p w14:paraId="3A4A1401" w14:textId="77777777" w:rsidR="00622EE7" w:rsidRDefault="00E60909">
      <w:pPr>
        <w:pStyle w:val="af3"/>
        <w:ind w:left="420" w:firstLineChars="0" w:firstLine="0"/>
        <w:jc w:val="center"/>
        <w:rPr>
          <w:b/>
          <w:sz w:val="21"/>
          <w:szCs w:val="21"/>
        </w:rPr>
      </w:pPr>
      <w:r>
        <w:rPr>
          <w:b/>
          <w:sz w:val="21"/>
          <w:szCs w:val="21"/>
        </w:rPr>
        <w:t>表</w:t>
      </w:r>
      <w:r>
        <w:rPr>
          <w:b/>
          <w:sz w:val="21"/>
          <w:szCs w:val="21"/>
        </w:rPr>
        <w:t xml:space="preserve">8.2.4  </w:t>
      </w:r>
      <w:r>
        <w:rPr>
          <w:b/>
          <w:sz w:val="21"/>
          <w:szCs w:val="21"/>
        </w:rPr>
        <w:t>防水卷材搭接宽度</w:t>
      </w:r>
    </w:p>
    <w:tbl>
      <w:tblPr>
        <w:tblStyle w:val="af0"/>
        <w:tblW w:w="0" w:type="auto"/>
        <w:tblInd w:w="42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18"/>
        <w:gridCol w:w="3958"/>
      </w:tblGrid>
      <w:tr w:rsidR="00622EE7" w14:paraId="3EDE759D" w14:textId="77777777">
        <w:tc>
          <w:tcPr>
            <w:tcW w:w="3918" w:type="dxa"/>
          </w:tcPr>
          <w:p w14:paraId="46EE3272" w14:textId="77777777" w:rsidR="00622EE7" w:rsidRDefault="00E60909">
            <w:pPr>
              <w:pStyle w:val="af3"/>
              <w:ind w:firstLineChars="0" w:firstLine="0"/>
              <w:jc w:val="center"/>
              <w:rPr>
                <w:sz w:val="21"/>
                <w:szCs w:val="21"/>
              </w:rPr>
            </w:pPr>
            <w:r>
              <w:rPr>
                <w:rFonts w:hint="eastAsia"/>
                <w:sz w:val="21"/>
                <w:szCs w:val="21"/>
              </w:rPr>
              <w:t>卷材品种</w:t>
            </w:r>
          </w:p>
        </w:tc>
        <w:tc>
          <w:tcPr>
            <w:tcW w:w="3958" w:type="dxa"/>
          </w:tcPr>
          <w:p w14:paraId="3B120F37" w14:textId="77777777" w:rsidR="00622EE7" w:rsidRDefault="00E60909">
            <w:pPr>
              <w:pStyle w:val="af3"/>
              <w:ind w:firstLineChars="0" w:firstLine="0"/>
              <w:jc w:val="center"/>
              <w:rPr>
                <w:sz w:val="21"/>
                <w:szCs w:val="21"/>
              </w:rPr>
            </w:pPr>
            <w:r>
              <w:rPr>
                <w:rFonts w:hint="eastAsia"/>
                <w:sz w:val="21"/>
                <w:szCs w:val="21"/>
              </w:rPr>
              <w:t>搭接宽度（</w:t>
            </w:r>
            <w:r>
              <w:rPr>
                <w:rFonts w:hint="eastAsia"/>
                <w:sz w:val="21"/>
                <w:szCs w:val="21"/>
              </w:rPr>
              <w:t>mm</w:t>
            </w:r>
            <w:r>
              <w:rPr>
                <w:rFonts w:hint="eastAsia"/>
                <w:sz w:val="21"/>
                <w:szCs w:val="21"/>
              </w:rPr>
              <w:t>）</w:t>
            </w:r>
          </w:p>
        </w:tc>
      </w:tr>
      <w:tr w:rsidR="00622EE7" w14:paraId="0AB35879" w14:textId="77777777">
        <w:tc>
          <w:tcPr>
            <w:tcW w:w="3918" w:type="dxa"/>
          </w:tcPr>
          <w:p w14:paraId="7752F08F" w14:textId="77777777" w:rsidR="00622EE7" w:rsidRDefault="00E60909">
            <w:pPr>
              <w:pStyle w:val="af3"/>
              <w:ind w:firstLineChars="0" w:firstLine="0"/>
              <w:jc w:val="center"/>
              <w:rPr>
                <w:sz w:val="21"/>
                <w:szCs w:val="21"/>
              </w:rPr>
            </w:pPr>
            <w:r>
              <w:rPr>
                <w:rFonts w:hint="eastAsia"/>
                <w:sz w:val="21"/>
                <w:szCs w:val="21"/>
              </w:rPr>
              <w:t>弹性体改性沥青防水卷材</w:t>
            </w:r>
          </w:p>
        </w:tc>
        <w:tc>
          <w:tcPr>
            <w:tcW w:w="3958" w:type="dxa"/>
          </w:tcPr>
          <w:p w14:paraId="43E386B3" w14:textId="77777777" w:rsidR="00622EE7" w:rsidRDefault="00E60909">
            <w:pPr>
              <w:pStyle w:val="af3"/>
              <w:ind w:firstLineChars="0" w:firstLine="0"/>
              <w:jc w:val="center"/>
              <w:rPr>
                <w:sz w:val="21"/>
                <w:szCs w:val="21"/>
              </w:rPr>
            </w:pPr>
            <w:r>
              <w:rPr>
                <w:rFonts w:hint="eastAsia"/>
                <w:sz w:val="21"/>
                <w:szCs w:val="21"/>
              </w:rPr>
              <w:t>1</w:t>
            </w:r>
            <w:r>
              <w:rPr>
                <w:sz w:val="21"/>
                <w:szCs w:val="21"/>
              </w:rPr>
              <w:t>00</w:t>
            </w:r>
          </w:p>
        </w:tc>
      </w:tr>
      <w:tr w:rsidR="00622EE7" w14:paraId="0E1B6B73" w14:textId="77777777">
        <w:tc>
          <w:tcPr>
            <w:tcW w:w="3918" w:type="dxa"/>
          </w:tcPr>
          <w:p w14:paraId="1D55CC76" w14:textId="77777777" w:rsidR="00622EE7" w:rsidRDefault="00E60909">
            <w:pPr>
              <w:pStyle w:val="af3"/>
              <w:ind w:firstLineChars="0" w:firstLine="0"/>
              <w:jc w:val="center"/>
              <w:rPr>
                <w:sz w:val="21"/>
                <w:szCs w:val="21"/>
              </w:rPr>
            </w:pPr>
            <w:r>
              <w:rPr>
                <w:rFonts w:hint="eastAsia"/>
                <w:sz w:val="21"/>
                <w:szCs w:val="21"/>
              </w:rPr>
              <w:t>改性沥青聚乙烯</w:t>
            </w:r>
            <w:proofErr w:type="gramStart"/>
            <w:r>
              <w:rPr>
                <w:rFonts w:hint="eastAsia"/>
                <w:sz w:val="21"/>
                <w:szCs w:val="21"/>
              </w:rPr>
              <w:t>胎</w:t>
            </w:r>
            <w:proofErr w:type="gramEnd"/>
            <w:r>
              <w:rPr>
                <w:rFonts w:hint="eastAsia"/>
                <w:sz w:val="21"/>
                <w:szCs w:val="21"/>
              </w:rPr>
              <w:t>防水卷材</w:t>
            </w:r>
          </w:p>
        </w:tc>
        <w:tc>
          <w:tcPr>
            <w:tcW w:w="3958" w:type="dxa"/>
          </w:tcPr>
          <w:p w14:paraId="7F918EAC" w14:textId="77777777" w:rsidR="00622EE7" w:rsidRDefault="00E60909">
            <w:pPr>
              <w:pStyle w:val="af3"/>
              <w:ind w:firstLineChars="0" w:firstLine="0"/>
              <w:jc w:val="center"/>
              <w:rPr>
                <w:sz w:val="21"/>
                <w:szCs w:val="21"/>
              </w:rPr>
            </w:pPr>
            <w:r>
              <w:rPr>
                <w:rFonts w:hint="eastAsia"/>
                <w:sz w:val="21"/>
                <w:szCs w:val="21"/>
              </w:rPr>
              <w:t>1</w:t>
            </w:r>
            <w:r>
              <w:rPr>
                <w:sz w:val="21"/>
                <w:szCs w:val="21"/>
              </w:rPr>
              <w:t>00</w:t>
            </w:r>
          </w:p>
        </w:tc>
      </w:tr>
      <w:tr w:rsidR="00622EE7" w14:paraId="2BE942FC" w14:textId="77777777">
        <w:tc>
          <w:tcPr>
            <w:tcW w:w="3918" w:type="dxa"/>
          </w:tcPr>
          <w:p w14:paraId="4CF5E422" w14:textId="77777777" w:rsidR="00622EE7" w:rsidRDefault="00E60909">
            <w:pPr>
              <w:pStyle w:val="af3"/>
              <w:ind w:firstLineChars="0" w:firstLine="0"/>
              <w:jc w:val="center"/>
              <w:rPr>
                <w:sz w:val="21"/>
                <w:szCs w:val="21"/>
              </w:rPr>
            </w:pPr>
            <w:r>
              <w:rPr>
                <w:rFonts w:hint="eastAsia"/>
                <w:sz w:val="21"/>
                <w:szCs w:val="21"/>
              </w:rPr>
              <w:t>自粘聚合物改性沥青防水卷材</w:t>
            </w:r>
          </w:p>
        </w:tc>
        <w:tc>
          <w:tcPr>
            <w:tcW w:w="3958" w:type="dxa"/>
          </w:tcPr>
          <w:p w14:paraId="103DBF86" w14:textId="77777777" w:rsidR="00622EE7" w:rsidRDefault="00E60909">
            <w:pPr>
              <w:pStyle w:val="af3"/>
              <w:ind w:firstLineChars="0" w:firstLine="0"/>
              <w:jc w:val="center"/>
              <w:rPr>
                <w:sz w:val="21"/>
                <w:szCs w:val="21"/>
              </w:rPr>
            </w:pPr>
            <w:r>
              <w:rPr>
                <w:rFonts w:hint="eastAsia"/>
                <w:sz w:val="21"/>
                <w:szCs w:val="21"/>
              </w:rPr>
              <w:t>8</w:t>
            </w:r>
            <w:r>
              <w:rPr>
                <w:sz w:val="21"/>
                <w:szCs w:val="21"/>
              </w:rPr>
              <w:t>0</w:t>
            </w:r>
          </w:p>
        </w:tc>
      </w:tr>
      <w:tr w:rsidR="00622EE7" w14:paraId="6635F3DC" w14:textId="77777777">
        <w:tc>
          <w:tcPr>
            <w:tcW w:w="3918" w:type="dxa"/>
          </w:tcPr>
          <w:p w14:paraId="2EBB8614" w14:textId="77777777" w:rsidR="00622EE7" w:rsidRDefault="00E60909">
            <w:pPr>
              <w:pStyle w:val="af3"/>
              <w:ind w:firstLineChars="0" w:firstLine="0"/>
              <w:jc w:val="center"/>
              <w:rPr>
                <w:sz w:val="21"/>
                <w:szCs w:val="21"/>
              </w:rPr>
            </w:pPr>
            <w:r>
              <w:rPr>
                <w:rFonts w:hint="eastAsia"/>
                <w:sz w:val="21"/>
                <w:szCs w:val="21"/>
              </w:rPr>
              <w:t>三元乙丙橡胶防水卷材</w:t>
            </w:r>
          </w:p>
        </w:tc>
        <w:tc>
          <w:tcPr>
            <w:tcW w:w="3958" w:type="dxa"/>
          </w:tcPr>
          <w:p w14:paraId="6B138082" w14:textId="77777777" w:rsidR="00622EE7" w:rsidRDefault="00E60909">
            <w:pPr>
              <w:pStyle w:val="af3"/>
              <w:ind w:firstLineChars="0" w:firstLine="0"/>
              <w:jc w:val="center"/>
              <w:rPr>
                <w:sz w:val="21"/>
                <w:szCs w:val="21"/>
              </w:rPr>
            </w:pPr>
            <w:r>
              <w:rPr>
                <w:rFonts w:hint="eastAsia"/>
                <w:sz w:val="21"/>
                <w:szCs w:val="21"/>
              </w:rPr>
              <w:t>1</w:t>
            </w:r>
            <w:r>
              <w:rPr>
                <w:sz w:val="21"/>
                <w:szCs w:val="21"/>
              </w:rPr>
              <w:t>00</w:t>
            </w:r>
            <w:r>
              <w:rPr>
                <w:rFonts w:hint="eastAsia"/>
                <w:sz w:val="21"/>
                <w:szCs w:val="21"/>
              </w:rPr>
              <w:t>/6</w:t>
            </w:r>
            <w:r>
              <w:rPr>
                <w:sz w:val="21"/>
                <w:szCs w:val="21"/>
              </w:rPr>
              <w:t>0(</w:t>
            </w:r>
            <w:r>
              <w:rPr>
                <w:rFonts w:hint="eastAsia"/>
                <w:sz w:val="21"/>
                <w:szCs w:val="21"/>
              </w:rPr>
              <w:t>胶粘剂</w:t>
            </w:r>
            <w:r>
              <w:rPr>
                <w:rFonts w:hint="eastAsia"/>
                <w:sz w:val="21"/>
                <w:szCs w:val="21"/>
              </w:rPr>
              <w:t>/</w:t>
            </w:r>
            <w:r>
              <w:rPr>
                <w:rFonts w:hint="eastAsia"/>
                <w:sz w:val="21"/>
                <w:szCs w:val="21"/>
              </w:rPr>
              <w:t>胶粘带</w:t>
            </w:r>
            <w:r>
              <w:rPr>
                <w:sz w:val="21"/>
                <w:szCs w:val="21"/>
              </w:rPr>
              <w:t>)</w:t>
            </w:r>
          </w:p>
        </w:tc>
      </w:tr>
      <w:tr w:rsidR="00622EE7" w14:paraId="74C4440C" w14:textId="77777777">
        <w:tc>
          <w:tcPr>
            <w:tcW w:w="3918" w:type="dxa"/>
            <w:vMerge w:val="restart"/>
            <w:vAlign w:val="center"/>
          </w:tcPr>
          <w:p w14:paraId="3ED929D8" w14:textId="77777777" w:rsidR="00622EE7" w:rsidRDefault="00E60909">
            <w:pPr>
              <w:pStyle w:val="af3"/>
              <w:ind w:firstLineChars="0" w:firstLine="0"/>
              <w:jc w:val="center"/>
              <w:rPr>
                <w:sz w:val="21"/>
                <w:szCs w:val="21"/>
              </w:rPr>
            </w:pPr>
            <w:r>
              <w:rPr>
                <w:rFonts w:hint="eastAsia"/>
                <w:sz w:val="21"/>
                <w:szCs w:val="21"/>
              </w:rPr>
              <w:t>聚氯乙烯防水卷材</w:t>
            </w:r>
          </w:p>
        </w:tc>
        <w:tc>
          <w:tcPr>
            <w:tcW w:w="3958" w:type="dxa"/>
            <w:vAlign w:val="center"/>
          </w:tcPr>
          <w:p w14:paraId="2C272507" w14:textId="77777777" w:rsidR="00622EE7" w:rsidRDefault="00E60909">
            <w:pPr>
              <w:pStyle w:val="af3"/>
              <w:ind w:firstLineChars="0" w:firstLine="0"/>
              <w:jc w:val="center"/>
              <w:rPr>
                <w:sz w:val="21"/>
                <w:szCs w:val="21"/>
              </w:rPr>
            </w:pPr>
            <w:r>
              <w:rPr>
                <w:sz w:val="21"/>
                <w:szCs w:val="21"/>
              </w:rPr>
              <w:t>60</w:t>
            </w:r>
            <w:r>
              <w:rPr>
                <w:rFonts w:hint="eastAsia"/>
                <w:sz w:val="21"/>
                <w:szCs w:val="21"/>
              </w:rPr>
              <w:t>/</w:t>
            </w:r>
            <w:r>
              <w:rPr>
                <w:sz w:val="21"/>
                <w:szCs w:val="21"/>
              </w:rPr>
              <w:t>80(</w:t>
            </w:r>
            <w:r>
              <w:rPr>
                <w:rFonts w:hint="eastAsia"/>
                <w:sz w:val="21"/>
                <w:szCs w:val="21"/>
              </w:rPr>
              <w:t>单焊缝</w:t>
            </w:r>
            <w:r>
              <w:rPr>
                <w:rFonts w:hint="eastAsia"/>
                <w:sz w:val="21"/>
                <w:szCs w:val="21"/>
              </w:rPr>
              <w:t>/</w:t>
            </w:r>
            <w:r>
              <w:rPr>
                <w:rFonts w:hint="eastAsia"/>
                <w:sz w:val="21"/>
                <w:szCs w:val="21"/>
              </w:rPr>
              <w:t>双焊缝</w:t>
            </w:r>
            <w:r>
              <w:rPr>
                <w:sz w:val="21"/>
                <w:szCs w:val="21"/>
              </w:rPr>
              <w:t>)</w:t>
            </w:r>
          </w:p>
        </w:tc>
      </w:tr>
      <w:tr w:rsidR="00622EE7" w14:paraId="4D24AC33" w14:textId="77777777">
        <w:tc>
          <w:tcPr>
            <w:tcW w:w="3918" w:type="dxa"/>
            <w:vMerge/>
            <w:vAlign w:val="center"/>
          </w:tcPr>
          <w:p w14:paraId="28737DA4" w14:textId="77777777" w:rsidR="00622EE7" w:rsidRDefault="00622EE7">
            <w:pPr>
              <w:pStyle w:val="af3"/>
              <w:ind w:firstLineChars="0" w:firstLine="0"/>
              <w:rPr>
                <w:sz w:val="21"/>
                <w:szCs w:val="21"/>
              </w:rPr>
            </w:pPr>
          </w:p>
        </w:tc>
        <w:tc>
          <w:tcPr>
            <w:tcW w:w="3958" w:type="dxa"/>
            <w:vAlign w:val="center"/>
          </w:tcPr>
          <w:p w14:paraId="71A7CB06" w14:textId="77777777" w:rsidR="00622EE7" w:rsidRDefault="00E60909">
            <w:pPr>
              <w:pStyle w:val="af3"/>
              <w:ind w:firstLineChars="0" w:firstLine="0"/>
              <w:rPr>
                <w:sz w:val="21"/>
                <w:szCs w:val="21"/>
              </w:rPr>
            </w:pPr>
            <w:r>
              <w:rPr>
                <w:rFonts w:hint="eastAsia"/>
                <w:sz w:val="21"/>
                <w:szCs w:val="21"/>
              </w:rPr>
              <w:t>1</w:t>
            </w:r>
            <w:r>
              <w:rPr>
                <w:sz w:val="21"/>
                <w:szCs w:val="21"/>
              </w:rPr>
              <w:t>00</w:t>
            </w:r>
            <w:r>
              <w:rPr>
                <w:rFonts w:hint="eastAsia"/>
                <w:sz w:val="21"/>
                <w:szCs w:val="21"/>
              </w:rPr>
              <w:t>/6</w:t>
            </w:r>
            <w:r>
              <w:rPr>
                <w:sz w:val="21"/>
                <w:szCs w:val="21"/>
              </w:rPr>
              <w:t>0(</w:t>
            </w:r>
            <w:r>
              <w:rPr>
                <w:rFonts w:hint="eastAsia"/>
                <w:sz w:val="21"/>
                <w:szCs w:val="21"/>
              </w:rPr>
              <w:t>胶粘剂</w:t>
            </w:r>
            <w:r>
              <w:rPr>
                <w:sz w:val="21"/>
                <w:szCs w:val="21"/>
              </w:rPr>
              <w:t>)</w:t>
            </w:r>
          </w:p>
        </w:tc>
      </w:tr>
      <w:tr w:rsidR="00622EE7" w14:paraId="698C5CBF" w14:textId="77777777">
        <w:tc>
          <w:tcPr>
            <w:tcW w:w="3918" w:type="dxa"/>
          </w:tcPr>
          <w:p w14:paraId="12EF06A8" w14:textId="77777777" w:rsidR="00622EE7" w:rsidRDefault="00E60909">
            <w:pPr>
              <w:pStyle w:val="af3"/>
              <w:ind w:firstLineChars="0" w:firstLine="0"/>
              <w:jc w:val="center"/>
              <w:rPr>
                <w:sz w:val="21"/>
                <w:szCs w:val="21"/>
              </w:rPr>
            </w:pPr>
            <w:r>
              <w:rPr>
                <w:rFonts w:hint="eastAsia"/>
                <w:sz w:val="21"/>
                <w:szCs w:val="21"/>
              </w:rPr>
              <w:t>高分子自粘胶膜防水卷材</w:t>
            </w:r>
          </w:p>
        </w:tc>
        <w:tc>
          <w:tcPr>
            <w:tcW w:w="3958" w:type="dxa"/>
          </w:tcPr>
          <w:p w14:paraId="76DF249C" w14:textId="77777777" w:rsidR="00622EE7" w:rsidRDefault="00E60909">
            <w:pPr>
              <w:pStyle w:val="af3"/>
              <w:ind w:firstLineChars="0" w:firstLine="0"/>
              <w:jc w:val="center"/>
              <w:rPr>
                <w:sz w:val="21"/>
                <w:szCs w:val="21"/>
              </w:rPr>
            </w:pPr>
            <w:r>
              <w:rPr>
                <w:sz w:val="21"/>
                <w:szCs w:val="21"/>
              </w:rPr>
              <w:t>70</w:t>
            </w:r>
            <w:r>
              <w:rPr>
                <w:rFonts w:hint="eastAsia"/>
                <w:sz w:val="21"/>
                <w:szCs w:val="21"/>
              </w:rPr>
              <w:t>/</w:t>
            </w:r>
            <w:r>
              <w:rPr>
                <w:sz w:val="21"/>
                <w:szCs w:val="21"/>
              </w:rPr>
              <w:t>80(</w:t>
            </w:r>
            <w:r>
              <w:rPr>
                <w:rFonts w:hint="eastAsia"/>
                <w:sz w:val="21"/>
                <w:szCs w:val="21"/>
              </w:rPr>
              <w:t>自粘胶</w:t>
            </w:r>
            <w:r>
              <w:rPr>
                <w:rFonts w:hint="eastAsia"/>
                <w:sz w:val="21"/>
                <w:szCs w:val="21"/>
              </w:rPr>
              <w:t>/</w:t>
            </w:r>
            <w:r>
              <w:rPr>
                <w:rFonts w:hint="eastAsia"/>
                <w:sz w:val="21"/>
                <w:szCs w:val="21"/>
              </w:rPr>
              <w:t>胶粘带</w:t>
            </w:r>
            <w:r>
              <w:rPr>
                <w:sz w:val="21"/>
                <w:szCs w:val="21"/>
              </w:rPr>
              <w:t>)</w:t>
            </w:r>
          </w:p>
        </w:tc>
      </w:tr>
    </w:tbl>
    <w:p w14:paraId="48CEF0C4"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采用防水涂料时，反应型高分子类防水涂料、聚合物乳液类防水涂料和水性聚合物沥青类防水涂料等涂料防水层最小厚度不应小于</w:t>
      </w:r>
      <w:r>
        <w:rPr>
          <w:rFonts w:hint="eastAsia"/>
        </w:rPr>
        <w:t>1</w:t>
      </w:r>
      <w:r>
        <w:t>.5mm</w:t>
      </w:r>
      <w:r>
        <w:rPr>
          <w:rFonts w:hint="eastAsia"/>
        </w:rPr>
        <w:t>，热熔施工橡胶沥青类防水涂料防水层最小厚度不应小于</w:t>
      </w:r>
      <w:r>
        <w:rPr>
          <w:rFonts w:hint="eastAsia"/>
        </w:rPr>
        <w:t>2</w:t>
      </w:r>
      <w:r>
        <w:t>.0mm</w:t>
      </w:r>
      <w:r>
        <w:rPr>
          <w:rFonts w:hint="eastAsia"/>
        </w:rPr>
        <w:t>。热熔施工橡胶沥青类防水涂料与防水卷材配套使用作为一道防水层时，其厚度不应小于</w:t>
      </w:r>
      <w:r>
        <w:rPr>
          <w:rFonts w:hint="eastAsia"/>
        </w:rPr>
        <w:t>1</w:t>
      </w:r>
      <w:r>
        <w:t>.5</w:t>
      </w:r>
      <w:r>
        <w:rPr>
          <w:rFonts w:hint="eastAsia"/>
        </w:rPr>
        <w:t>mm</w:t>
      </w:r>
      <w:r>
        <w:rPr>
          <w:rFonts w:hint="eastAsia"/>
        </w:rPr>
        <w:t>。</w:t>
      </w:r>
    </w:p>
    <w:p w14:paraId="45F75FD3"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采用水泥砂浆防水层时，聚合物水泥防水砂浆的厚度应满足现行国家标准《建筑与市政工程防水通用规范》</w:t>
      </w:r>
      <w:r>
        <w:t>GB 55030</w:t>
      </w:r>
      <w:r>
        <w:rPr>
          <w:rFonts w:hint="eastAsia"/>
        </w:rPr>
        <w:t>的规定。水泥砂浆防水层的基层混凝土强度或砌体用的砂浆强度均不应低于设计值的</w:t>
      </w:r>
      <w:r>
        <w:rPr>
          <w:rFonts w:hint="eastAsia"/>
        </w:rPr>
        <w:t>8</w:t>
      </w:r>
      <w:r>
        <w:t>0%</w:t>
      </w:r>
      <w:r>
        <w:rPr>
          <w:rFonts w:hint="eastAsia"/>
        </w:rPr>
        <w:t>。</w:t>
      </w:r>
    </w:p>
    <w:p w14:paraId="3E240C93"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水泥砂浆防水层施工时，各层应紧密粘合，每层宜连续施工；</w:t>
      </w:r>
      <w:proofErr w:type="gramStart"/>
      <w:r>
        <w:rPr>
          <w:rFonts w:hint="eastAsia"/>
        </w:rPr>
        <w:t>必须留设施工缝</w:t>
      </w:r>
      <w:proofErr w:type="gramEnd"/>
      <w:r>
        <w:rPr>
          <w:rFonts w:hint="eastAsia"/>
        </w:rPr>
        <w:t>时，应采用阶梯坡形</w:t>
      </w:r>
      <w:proofErr w:type="gramStart"/>
      <w:r>
        <w:rPr>
          <w:rFonts w:hint="eastAsia"/>
        </w:rPr>
        <w:t>槎</w:t>
      </w:r>
      <w:proofErr w:type="gramEnd"/>
      <w:r>
        <w:rPr>
          <w:rFonts w:hint="eastAsia"/>
        </w:rPr>
        <w:t>，距阴阳角不得小于</w:t>
      </w:r>
      <w:r>
        <w:t>200</w:t>
      </w:r>
      <w:r>
        <w:rPr>
          <w:rFonts w:hint="eastAsia"/>
        </w:rPr>
        <w:t>mm</w:t>
      </w:r>
      <w:r>
        <w:rPr>
          <w:rFonts w:hint="eastAsia"/>
        </w:rPr>
        <w:t>。</w:t>
      </w:r>
    </w:p>
    <w:p w14:paraId="080344F6"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外涂型</w:t>
      </w:r>
      <w:r>
        <w:t>水泥基渗透结晶型防水</w:t>
      </w:r>
      <w:r>
        <w:rPr>
          <w:rFonts w:hint="eastAsia"/>
        </w:rPr>
        <w:t>材料</w:t>
      </w:r>
      <w:r>
        <w:t>，</w:t>
      </w:r>
      <w:r>
        <w:rPr>
          <w:rFonts w:hint="eastAsia"/>
        </w:rPr>
        <w:t>可</w:t>
      </w:r>
      <w:r>
        <w:t>用于主体结构的迎水面或背水面</w:t>
      </w:r>
      <w:r>
        <w:rPr>
          <w:rFonts w:hint="eastAsia"/>
        </w:rPr>
        <w:t>，防水层厚度不应小于</w:t>
      </w:r>
      <w:r>
        <w:rPr>
          <w:rFonts w:hint="eastAsia"/>
        </w:rPr>
        <w:t>1</w:t>
      </w:r>
      <w:r>
        <w:t>.0mm</w:t>
      </w:r>
      <w:r>
        <w:rPr>
          <w:rFonts w:hint="eastAsia"/>
        </w:rPr>
        <w:t>，用量不应小于</w:t>
      </w:r>
      <w:r>
        <w:rPr>
          <w:rFonts w:hint="eastAsia"/>
        </w:rPr>
        <w:t>1</w:t>
      </w:r>
      <w:r>
        <w:t>.5</w:t>
      </w:r>
      <w:r>
        <w:rPr>
          <w:rFonts w:hint="eastAsia"/>
        </w:rPr>
        <w:t>kg</w:t>
      </w:r>
      <w:r>
        <w:t>/</w:t>
      </w:r>
      <w:r>
        <w:rPr>
          <w:rFonts w:hint="eastAsia"/>
        </w:rPr>
        <w:t>m</w:t>
      </w:r>
      <w:r>
        <w:rPr>
          <w:vertAlign w:val="superscript"/>
        </w:rPr>
        <w:t>2</w:t>
      </w:r>
      <w:r>
        <w:t>。</w:t>
      </w:r>
    </w:p>
    <w:p w14:paraId="007957E1"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涂料防水层同层涂膜的</w:t>
      </w:r>
      <w:proofErr w:type="gramStart"/>
      <w:r>
        <w:rPr>
          <w:rFonts w:hint="eastAsia"/>
        </w:rPr>
        <w:t>先后搭压宽度</w:t>
      </w:r>
      <w:proofErr w:type="gramEnd"/>
      <w:r>
        <w:t>30</w:t>
      </w:r>
      <w:r>
        <w:rPr>
          <w:rFonts w:hint="eastAsia"/>
        </w:rPr>
        <w:t>mm</w:t>
      </w:r>
      <w:r>
        <w:rPr>
          <w:rFonts w:hint="eastAsia"/>
        </w:rPr>
        <w:t>～</w:t>
      </w:r>
      <w:r>
        <w:t>50</w:t>
      </w:r>
      <w:r>
        <w:rPr>
          <w:rFonts w:hint="eastAsia"/>
        </w:rPr>
        <w:t>mm</w:t>
      </w:r>
      <w:r>
        <w:t>；</w:t>
      </w:r>
      <w:r>
        <w:rPr>
          <w:rFonts w:hint="eastAsia"/>
        </w:rPr>
        <w:t>涂料防水层的甩</w:t>
      </w:r>
      <w:proofErr w:type="gramStart"/>
      <w:r>
        <w:rPr>
          <w:rFonts w:hint="eastAsia"/>
        </w:rPr>
        <w:t>槎</w:t>
      </w:r>
      <w:proofErr w:type="gramEnd"/>
      <w:r>
        <w:rPr>
          <w:rFonts w:hint="eastAsia"/>
        </w:rPr>
        <w:t>处接</w:t>
      </w:r>
      <w:proofErr w:type="gramStart"/>
      <w:r>
        <w:rPr>
          <w:rFonts w:hint="eastAsia"/>
        </w:rPr>
        <w:t>槎</w:t>
      </w:r>
      <w:proofErr w:type="gramEnd"/>
      <w:r>
        <w:rPr>
          <w:rFonts w:hint="eastAsia"/>
        </w:rPr>
        <w:t>宽度不应小于</w:t>
      </w:r>
      <w:r>
        <w:t>100</w:t>
      </w:r>
      <w:r>
        <w:rPr>
          <w:rFonts w:hint="eastAsia"/>
        </w:rPr>
        <w:t>mm</w:t>
      </w:r>
      <w:r>
        <w:rPr>
          <w:rFonts w:hint="eastAsia"/>
        </w:rPr>
        <w:t>。</w:t>
      </w:r>
    </w:p>
    <w:p w14:paraId="4A2D034B" w14:textId="77777777" w:rsidR="00622EE7" w:rsidRDefault="00E60909">
      <w:pPr>
        <w:pStyle w:val="af3"/>
        <w:numPr>
          <w:ilvl w:val="0"/>
          <w:numId w:val="21"/>
        </w:numPr>
        <w:ind w:left="0" w:firstLineChars="0" w:firstLine="0"/>
      </w:pPr>
      <w:r>
        <w:rPr>
          <w:rFonts w:ascii="楷体" w:eastAsia="楷体" w:hAnsi="楷体" w:hint="eastAsia"/>
        </w:rPr>
        <w:lastRenderedPageBreak/>
        <w:t>【基础项】</w:t>
      </w:r>
      <w:r>
        <w:rPr>
          <w:rFonts w:hint="eastAsia"/>
        </w:rPr>
        <w:t>防水混凝土结构厚度不应小于</w:t>
      </w:r>
      <w:r>
        <w:rPr>
          <w:rFonts w:hint="eastAsia"/>
        </w:rPr>
        <w:t>2</w:t>
      </w:r>
      <w:r>
        <w:t>50mm</w:t>
      </w:r>
      <w:r>
        <w:rPr>
          <w:rFonts w:hint="eastAsia"/>
        </w:rPr>
        <w:t>；裂缝宽度不得大于</w:t>
      </w:r>
      <w:r>
        <w:rPr>
          <w:rFonts w:hint="eastAsia"/>
        </w:rPr>
        <w:t>0</w:t>
      </w:r>
      <w:r>
        <w:t>.2mm</w:t>
      </w:r>
      <w:r>
        <w:rPr>
          <w:rFonts w:hint="eastAsia"/>
        </w:rPr>
        <w:t>，并不得贯通。迎水面钢筋保护层厚度不应小于</w:t>
      </w:r>
      <w:r>
        <w:rPr>
          <w:rFonts w:hint="eastAsia"/>
        </w:rPr>
        <w:t>5</w:t>
      </w:r>
      <w:r>
        <w:t>0mm</w:t>
      </w:r>
      <w:r>
        <w:rPr>
          <w:rFonts w:hint="eastAsia"/>
        </w:rPr>
        <w:t>。防水混凝土的施工配合比应通过试验确定，其强度等级不应低于</w:t>
      </w:r>
      <w:r>
        <w:rPr>
          <w:rFonts w:hint="eastAsia"/>
        </w:rPr>
        <w:t>C</w:t>
      </w:r>
      <w:r>
        <w:t>25</w:t>
      </w:r>
      <w:r>
        <w:rPr>
          <w:rFonts w:hint="eastAsia"/>
        </w:rPr>
        <w:t>，试配混凝土的抗渗等级应比设计要求提高</w:t>
      </w:r>
      <w:r>
        <w:rPr>
          <w:rFonts w:hint="eastAsia"/>
        </w:rPr>
        <w:t>0</w:t>
      </w:r>
      <w:r>
        <w:t>.2MP</w:t>
      </w:r>
      <w:r>
        <w:rPr>
          <w:rFonts w:hint="eastAsia"/>
        </w:rPr>
        <w:t>a</w:t>
      </w:r>
      <w:r>
        <w:rPr>
          <w:rFonts w:hint="eastAsia"/>
        </w:rPr>
        <w:t>。</w:t>
      </w:r>
    </w:p>
    <w:p w14:paraId="3BE422B3"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防水混凝土应分层连续浇筑，分层厚度不得大于</w:t>
      </w:r>
      <w:r>
        <w:rPr>
          <w:rFonts w:hint="eastAsia"/>
        </w:rPr>
        <w:t>5</w:t>
      </w:r>
      <w:r>
        <w:t>00mm</w:t>
      </w:r>
      <w:r>
        <w:rPr>
          <w:rFonts w:hint="eastAsia"/>
        </w:rPr>
        <w:t>。混凝土连续浇筑应少留施工缝。</w:t>
      </w:r>
    </w:p>
    <w:p w14:paraId="3A13F2C9" w14:textId="77777777" w:rsidR="00622EE7" w:rsidRDefault="00E60909">
      <w:pPr>
        <w:pStyle w:val="af3"/>
        <w:numPr>
          <w:ilvl w:val="0"/>
          <w:numId w:val="21"/>
        </w:numPr>
        <w:ind w:left="0" w:firstLineChars="0" w:firstLine="0"/>
      </w:pPr>
      <w:r>
        <w:rPr>
          <w:rFonts w:ascii="楷体" w:eastAsia="楷体" w:hAnsi="楷体" w:hint="eastAsia"/>
        </w:rPr>
        <w:t>【基础项】</w:t>
      </w:r>
      <w:r>
        <w:t>种植屋面</w:t>
      </w:r>
      <w:r>
        <w:rPr>
          <w:rFonts w:hint="eastAsia"/>
        </w:rPr>
        <w:t>、种植板面</w:t>
      </w:r>
      <w:r>
        <w:t>防水层应满足一级防水等级设防要求且必须至少设置一道</w:t>
      </w:r>
      <w:proofErr w:type="gramStart"/>
      <w:r>
        <w:t>具有耐根穿刺</w:t>
      </w:r>
      <w:proofErr w:type="gramEnd"/>
      <w:r>
        <w:t>性能的防水材料。</w:t>
      </w:r>
      <w:proofErr w:type="gramStart"/>
      <w:r>
        <w:t>耐根穿刺</w:t>
      </w:r>
      <w:proofErr w:type="gramEnd"/>
      <w:r>
        <w:t>防水</w:t>
      </w:r>
      <w:r>
        <w:t>材料应</w:t>
      </w:r>
      <w:proofErr w:type="gramStart"/>
      <w:r>
        <w:rPr>
          <w:rFonts w:hint="eastAsia"/>
        </w:rPr>
        <w:t>通过耐根穿刺</w:t>
      </w:r>
      <w:proofErr w:type="gramEnd"/>
      <w:r>
        <w:rPr>
          <w:rFonts w:hint="eastAsia"/>
        </w:rPr>
        <w:t>试验并</w:t>
      </w:r>
      <w:r>
        <w:t>具有耐霉菌腐蚀性能。</w:t>
      </w:r>
    </w:p>
    <w:p w14:paraId="2A55E6FB"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需上人维护的设施周围和屋面出入口</w:t>
      </w:r>
      <w:proofErr w:type="gramStart"/>
      <w:r>
        <w:rPr>
          <w:rFonts w:hint="eastAsia"/>
        </w:rPr>
        <w:t>至设施</w:t>
      </w:r>
      <w:proofErr w:type="gramEnd"/>
      <w:r>
        <w:rPr>
          <w:rFonts w:hint="eastAsia"/>
        </w:rPr>
        <w:t>之间应设人行道，并铺设保护层。</w:t>
      </w:r>
    </w:p>
    <w:p w14:paraId="3C8AFC7B"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屋面排水坡度应根据屋面结构形式、屋面基层类别、防水构造形式、材料性能及适用环境等条件确定，当屋面</w:t>
      </w:r>
      <w:proofErr w:type="gramStart"/>
      <w:r>
        <w:rPr>
          <w:rFonts w:hint="eastAsia"/>
        </w:rPr>
        <w:t>结构找坡时</w:t>
      </w:r>
      <w:proofErr w:type="gramEnd"/>
      <w:r>
        <w:rPr>
          <w:rFonts w:hint="eastAsia"/>
        </w:rPr>
        <w:t>，其坡度不应小于</w:t>
      </w:r>
      <w:r>
        <w:t>3%</w:t>
      </w:r>
      <w:r>
        <w:rPr>
          <w:rFonts w:hint="eastAsia"/>
        </w:rPr>
        <w:t>；当屋面</w:t>
      </w:r>
      <w:proofErr w:type="gramStart"/>
      <w:r>
        <w:t>材料找坡</w:t>
      </w:r>
      <w:r>
        <w:rPr>
          <w:rFonts w:hint="eastAsia"/>
        </w:rPr>
        <w:t>时</w:t>
      </w:r>
      <w:proofErr w:type="gramEnd"/>
      <w:r>
        <w:rPr>
          <w:rFonts w:hint="eastAsia"/>
        </w:rPr>
        <w:t>，其坡度</w:t>
      </w:r>
      <w:r>
        <w:t>不应小于</w:t>
      </w:r>
      <w:r>
        <w:t>2%</w:t>
      </w:r>
      <w:r>
        <w:rPr>
          <w:rFonts w:hint="eastAsia"/>
        </w:rPr>
        <w:t>；混凝土屋面</w:t>
      </w:r>
      <w:r>
        <w:t>檐沟、天沟纵向坡度不应小于</w:t>
      </w:r>
      <w:r>
        <w:t>1%</w:t>
      </w:r>
      <w:r>
        <w:t>，女儿墙压顶</w:t>
      </w:r>
      <w:r>
        <w:rPr>
          <w:rFonts w:hint="eastAsia"/>
        </w:rPr>
        <w:t>应</w:t>
      </w:r>
      <w:r>
        <w:t>采用现浇钢筋混凝土或金属压顶，压顶</w:t>
      </w:r>
      <w:r>
        <w:rPr>
          <w:rFonts w:hint="eastAsia"/>
        </w:rPr>
        <w:t>应向内找坡，坡度不应小于</w:t>
      </w:r>
      <w:r>
        <w:t>5%</w:t>
      </w:r>
      <w:r>
        <w:rPr>
          <w:rFonts w:hint="eastAsia"/>
        </w:rPr>
        <w:t>。</w:t>
      </w:r>
    </w:p>
    <w:p w14:paraId="3B04D798" w14:textId="77777777" w:rsidR="00622EE7" w:rsidRDefault="00E60909">
      <w:pPr>
        <w:pStyle w:val="af3"/>
        <w:numPr>
          <w:ilvl w:val="0"/>
          <w:numId w:val="21"/>
        </w:numPr>
        <w:ind w:left="0" w:firstLineChars="0" w:firstLine="0"/>
      </w:pPr>
      <w:r>
        <w:rPr>
          <w:rFonts w:ascii="楷体" w:eastAsia="楷体" w:hAnsi="楷体" w:hint="eastAsia"/>
        </w:rPr>
        <w:t>【品质项】</w:t>
      </w:r>
      <w:r>
        <w:rPr>
          <w:rFonts w:hint="eastAsia"/>
        </w:rPr>
        <w:t>女儿墙顶面及内侧面墙体表面宜做防水处理，</w:t>
      </w:r>
      <w:r>
        <w:t>并与屋</w:t>
      </w:r>
      <w:r>
        <w:rPr>
          <w:rFonts w:hint="eastAsia"/>
        </w:rPr>
        <w:t>面防水层衔接。</w:t>
      </w:r>
    </w:p>
    <w:p w14:paraId="43CFC50D"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穿墙管道</w:t>
      </w:r>
      <w:r>
        <w:rPr>
          <w:rFonts w:hint="eastAsia"/>
        </w:rPr>
        <w:t>部位应进行节点构造防水措施。</w:t>
      </w:r>
    </w:p>
    <w:p w14:paraId="14C74D9B" w14:textId="77777777" w:rsidR="00622EE7" w:rsidRDefault="00E60909">
      <w:pPr>
        <w:pStyle w:val="af3"/>
        <w:numPr>
          <w:ilvl w:val="0"/>
          <w:numId w:val="21"/>
        </w:numPr>
        <w:ind w:left="0" w:firstLineChars="0" w:firstLine="0"/>
      </w:pPr>
      <w:r>
        <w:rPr>
          <w:rFonts w:ascii="楷体" w:eastAsia="楷体" w:hAnsi="楷体" w:hint="eastAsia"/>
        </w:rPr>
        <w:t>【品质项】</w:t>
      </w:r>
      <w:r>
        <w:rPr>
          <w:rFonts w:hint="eastAsia"/>
        </w:rPr>
        <w:t>穿过外墙的管道宜采用套管，</w:t>
      </w:r>
      <w:proofErr w:type="gramStart"/>
      <w:r>
        <w:rPr>
          <w:rFonts w:hint="eastAsia"/>
        </w:rPr>
        <w:t>套管应内高</w:t>
      </w:r>
      <w:proofErr w:type="gramEnd"/>
      <w:r>
        <w:rPr>
          <w:rFonts w:hint="eastAsia"/>
        </w:rPr>
        <w:t>外低，坡度不应小于</w:t>
      </w:r>
      <w:r>
        <w:t xml:space="preserve"> 5%</w:t>
      </w:r>
      <w:r>
        <w:t>，套管周边应作防水密封处理</w:t>
      </w:r>
      <w:r>
        <w:rPr>
          <w:rFonts w:hint="eastAsia"/>
        </w:rPr>
        <w:t>。</w:t>
      </w:r>
    </w:p>
    <w:p w14:paraId="3CF8EA88"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外门窗框与墙体间连接处的缝隙应采用防水材料嵌填，并涂刷涂料或采用防水胶带密封。密封胶带或防水涂料与门窗框或附框的搭接宽度不宜小于</w:t>
      </w:r>
      <w:r>
        <w:rPr>
          <w:rFonts w:hint="eastAsia"/>
        </w:rPr>
        <w:t>10mm</w:t>
      </w:r>
      <w:r>
        <w:rPr>
          <w:rFonts w:hint="eastAsia"/>
        </w:rPr>
        <w:t>，与外墙防水层搭接宽度不宜小于</w:t>
      </w:r>
      <w:r>
        <w:rPr>
          <w:rFonts w:hint="eastAsia"/>
        </w:rPr>
        <w:t>100mm</w:t>
      </w:r>
      <w:r>
        <w:rPr>
          <w:rFonts w:hint="eastAsia"/>
        </w:rPr>
        <w:t>。</w:t>
      </w:r>
    </w:p>
    <w:p w14:paraId="344A383A" w14:textId="77777777" w:rsidR="00622EE7" w:rsidRDefault="00E60909">
      <w:pPr>
        <w:pStyle w:val="af3"/>
        <w:numPr>
          <w:ilvl w:val="0"/>
          <w:numId w:val="21"/>
        </w:numPr>
        <w:ind w:left="0" w:firstLineChars="0" w:firstLine="0"/>
      </w:pPr>
      <w:r>
        <w:rPr>
          <w:rFonts w:ascii="楷体" w:eastAsia="楷体" w:hAnsi="楷体" w:hint="eastAsia"/>
        </w:rPr>
        <w:t>【基础项】</w:t>
      </w:r>
      <w:r>
        <w:rPr>
          <w:rFonts w:ascii="宋体" w:hAnsi="宋体" w:hint="eastAsia"/>
        </w:rPr>
        <w:t>窗台处应设置排水板和</w:t>
      </w:r>
      <w:proofErr w:type="gramStart"/>
      <w:r>
        <w:rPr>
          <w:rFonts w:ascii="宋体" w:hAnsi="宋体" w:hint="eastAsia"/>
        </w:rPr>
        <w:t>滴水线</w:t>
      </w:r>
      <w:proofErr w:type="gramEnd"/>
      <w:r>
        <w:rPr>
          <w:rFonts w:ascii="宋体" w:hAnsi="宋体" w:hint="eastAsia"/>
        </w:rPr>
        <w:t>等排水构造，排水坡度不应小于</w:t>
      </w:r>
      <w:r>
        <w:t>5%</w:t>
      </w:r>
      <w:r>
        <w:t>，</w:t>
      </w:r>
      <w:r>
        <w:rPr>
          <w:rFonts w:ascii="宋体" w:hAnsi="宋体" w:hint="eastAsia"/>
        </w:rPr>
        <w:t>并应有防踩踏措施。</w:t>
      </w:r>
    </w:p>
    <w:p w14:paraId="1E5BD43A" w14:textId="77777777" w:rsidR="00622EE7" w:rsidRDefault="00E60909">
      <w:pPr>
        <w:pStyle w:val="af3"/>
        <w:numPr>
          <w:ilvl w:val="0"/>
          <w:numId w:val="21"/>
        </w:numPr>
        <w:ind w:left="0" w:firstLineChars="0" w:firstLine="0"/>
      </w:pPr>
      <w:r>
        <w:rPr>
          <w:rFonts w:ascii="楷体" w:eastAsia="楷体" w:hAnsi="楷体" w:hint="eastAsia"/>
        </w:rPr>
        <w:t>【提升项】</w:t>
      </w:r>
      <w:r>
        <w:rPr>
          <w:rFonts w:hint="eastAsia"/>
        </w:rPr>
        <w:t>窗台处</w:t>
      </w:r>
      <w:proofErr w:type="gramStart"/>
      <w:r>
        <w:rPr>
          <w:rFonts w:hint="eastAsia"/>
        </w:rPr>
        <w:t>宜设置</w:t>
      </w:r>
      <w:proofErr w:type="gramEnd"/>
      <w:r>
        <w:rPr>
          <w:rFonts w:hint="eastAsia"/>
        </w:rPr>
        <w:t>金属排水板。</w:t>
      </w:r>
    </w:p>
    <w:p w14:paraId="43E96FAA"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雨蓬与外墙交接处接缝应做防水处理，并应与外墙防水层连续。</w:t>
      </w:r>
    </w:p>
    <w:p w14:paraId="6D6DA83E" w14:textId="77777777" w:rsidR="00622EE7" w:rsidRDefault="00E60909">
      <w:pPr>
        <w:pStyle w:val="af3"/>
        <w:numPr>
          <w:ilvl w:val="0"/>
          <w:numId w:val="21"/>
        </w:numPr>
        <w:ind w:left="0" w:firstLineChars="0" w:firstLine="0"/>
      </w:pPr>
      <w:r>
        <w:rPr>
          <w:rFonts w:ascii="楷体" w:eastAsia="楷体" w:hAnsi="楷体" w:hint="eastAsia"/>
        </w:rPr>
        <w:lastRenderedPageBreak/>
        <w:t>【基础项】</w:t>
      </w:r>
      <w:r>
        <w:rPr>
          <w:rFonts w:hint="eastAsia"/>
        </w:rPr>
        <w:t>室外挑板与墙体连接处应采取防雨水倒灌措施和节点构造防水措施。</w:t>
      </w:r>
    </w:p>
    <w:p w14:paraId="22DC4A69" w14:textId="77777777" w:rsidR="00622EE7" w:rsidRDefault="00E60909">
      <w:pPr>
        <w:pStyle w:val="af3"/>
        <w:numPr>
          <w:ilvl w:val="0"/>
          <w:numId w:val="21"/>
        </w:numPr>
        <w:ind w:left="0" w:firstLineChars="0" w:firstLine="0"/>
      </w:pPr>
      <w:r>
        <w:rPr>
          <w:rFonts w:ascii="楷体" w:eastAsia="楷体" w:hAnsi="楷体" w:hint="eastAsia"/>
        </w:rPr>
        <w:t>【基础项】</w:t>
      </w:r>
      <w:r>
        <w:t>外墙预埋件四周应用密封材料封闭严密，密封材料与</w:t>
      </w:r>
      <w:r>
        <w:rPr>
          <w:rFonts w:hint="eastAsia"/>
        </w:rPr>
        <w:t>防水层应连续。</w:t>
      </w:r>
    </w:p>
    <w:p w14:paraId="781F6998"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外墙变形缝部位应采取防水加强措施。</w:t>
      </w:r>
    </w:p>
    <w:p w14:paraId="6822E90C"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住宅室内防水工程不得使用溶剂型防水涂料。厨房和卫生间</w:t>
      </w:r>
      <w:r>
        <w:t>楼、地面的防水层在门口处应水平延展，且向外延展</w:t>
      </w:r>
      <w:r>
        <w:rPr>
          <w:rFonts w:hint="eastAsia"/>
        </w:rPr>
        <w:t>的长度不应小于</w:t>
      </w:r>
      <w:r>
        <w:t>500</w:t>
      </w:r>
      <w:r>
        <w:rPr>
          <w:rFonts w:hint="eastAsia"/>
        </w:rPr>
        <w:t>mm</w:t>
      </w:r>
      <w:r>
        <w:t>，向两侧延展的宽度不应小于</w:t>
      </w:r>
      <w:r>
        <w:t>200</w:t>
      </w:r>
      <w:r>
        <w:rPr>
          <w:rFonts w:hint="eastAsia"/>
        </w:rPr>
        <w:t>mm</w:t>
      </w:r>
      <w:r>
        <w:rPr>
          <w:rFonts w:hint="eastAsia"/>
        </w:rPr>
        <w:t>，室内防水层高度应满足现行国家标准《</w:t>
      </w:r>
      <w:r>
        <w:t>建筑与市政工程防水通用规范</w:t>
      </w:r>
      <w:r>
        <w:rPr>
          <w:rFonts w:hint="eastAsia"/>
        </w:rPr>
        <w:t>》</w:t>
      </w:r>
      <w:r>
        <w:t>GB 55030</w:t>
      </w:r>
      <w:r>
        <w:rPr>
          <w:rFonts w:hint="eastAsia"/>
        </w:rPr>
        <w:t>的要求。</w:t>
      </w:r>
    </w:p>
    <w:p w14:paraId="1E5362E1" w14:textId="77777777" w:rsidR="00622EE7" w:rsidRDefault="00E60909">
      <w:pPr>
        <w:pStyle w:val="af3"/>
        <w:numPr>
          <w:ilvl w:val="0"/>
          <w:numId w:val="21"/>
        </w:numPr>
        <w:ind w:left="0" w:firstLineChars="0" w:firstLine="0"/>
      </w:pPr>
      <w:r>
        <w:rPr>
          <w:rFonts w:ascii="楷体" w:eastAsia="楷体" w:hAnsi="楷体" w:hint="eastAsia"/>
        </w:rPr>
        <w:t>【品质项】</w:t>
      </w:r>
      <w:r>
        <w:rPr>
          <w:rFonts w:hint="eastAsia"/>
        </w:rPr>
        <w:t>选用的防水和密封材料耐久性</w:t>
      </w:r>
      <w:proofErr w:type="gramStart"/>
      <w:r>
        <w:rPr>
          <w:rFonts w:hint="eastAsia"/>
        </w:rPr>
        <w:t>宜符合</w:t>
      </w:r>
      <w:proofErr w:type="gramEnd"/>
      <w:r>
        <w:rPr>
          <w:rFonts w:hint="eastAsia"/>
        </w:rPr>
        <w:t>现行国家标准《绿色产品评价</w:t>
      </w:r>
      <w:r>
        <w:rPr>
          <w:rFonts w:hint="eastAsia"/>
        </w:rPr>
        <w:t xml:space="preserve"> </w:t>
      </w:r>
      <w:r>
        <w:rPr>
          <w:rFonts w:hint="eastAsia"/>
        </w:rPr>
        <w:t>防水与密封材料》</w:t>
      </w:r>
      <w:r>
        <w:rPr>
          <w:rFonts w:hint="eastAsia"/>
        </w:rPr>
        <w:t>G</w:t>
      </w:r>
      <w:r>
        <w:t>B/T 35609</w:t>
      </w:r>
      <w:r>
        <w:rPr>
          <w:rFonts w:hint="eastAsia"/>
        </w:rPr>
        <w:t>规定的材料。</w:t>
      </w:r>
    </w:p>
    <w:p w14:paraId="00050C56" w14:textId="77777777" w:rsidR="00622EE7" w:rsidRDefault="00E60909">
      <w:pPr>
        <w:pStyle w:val="af3"/>
        <w:numPr>
          <w:ilvl w:val="0"/>
          <w:numId w:val="21"/>
        </w:numPr>
        <w:ind w:firstLineChars="0"/>
      </w:pPr>
      <w:r>
        <w:rPr>
          <w:rFonts w:ascii="楷体" w:eastAsia="楷体" w:hAnsi="楷体" w:hint="eastAsia"/>
        </w:rPr>
        <w:t>【提升项】</w:t>
      </w:r>
      <w:r>
        <w:rPr>
          <w:rFonts w:hint="eastAsia"/>
        </w:rPr>
        <w:t>外墙装饰系统完工后宜进行淋水试验，并无渗漏。</w:t>
      </w:r>
    </w:p>
    <w:p w14:paraId="5CB6F45D" w14:textId="77777777" w:rsidR="00622EE7" w:rsidRDefault="00E60909">
      <w:pPr>
        <w:spacing w:beforeLines="50" w:before="163" w:afterLines="50" w:after="163" w:line="360" w:lineRule="auto"/>
        <w:jc w:val="center"/>
        <w:outlineLvl w:val="1"/>
        <w:rPr>
          <w:rFonts w:ascii="Times New Roman" w:eastAsia="黑体" w:hAnsi="Times New Roman"/>
        </w:rPr>
      </w:pPr>
      <w:bookmarkStart w:id="46" w:name="_Toc182841361"/>
      <w:r>
        <w:rPr>
          <w:rFonts w:ascii="Times New Roman" w:eastAsia="黑体" w:hAnsi="Times New Roman"/>
        </w:rPr>
        <w:t xml:space="preserve">8.3 </w:t>
      </w:r>
      <w:r>
        <w:rPr>
          <w:rFonts w:ascii="Times New Roman" w:eastAsia="黑体" w:hAnsi="Times New Roman" w:hint="eastAsia"/>
        </w:rPr>
        <w:t>保温</w:t>
      </w:r>
      <w:bookmarkEnd w:id="46"/>
    </w:p>
    <w:p w14:paraId="71C98BAB"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正确使用和</w:t>
      </w:r>
      <w:proofErr w:type="gramStart"/>
      <w:r>
        <w:t>正常维护</w:t>
      </w:r>
      <w:proofErr w:type="gramEnd"/>
      <w:r>
        <w:t>的条件下，外保温工程的使用年限不应少于</w:t>
      </w:r>
      <w:r>
        <w:t>25</w:t>
      </w:r>
      <w:r>
        <w:t>年。</w:t>
      </w:r>
    </w:p>
    <w:p w14:paraId="5C001ECC"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外墙保温用锚栓的塑料膨胀件和塑料膨胀套管严禁使用再生材料。</w:t>
      </w:r>
    </w:p>
    <w:p w14:paraId="0BAA65BC"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当采用薄抹灰系统时，锚栓的数量应满足</w:t>
      </w:r>
      <w:proofErr w:type="gramStart"/>
      <w:r>
        <w:t>现行行业</w:t>
      </w:r>
      <w:proofErr w:type="gramEnd"/>
      <w:r>
        <w:t>标准《外墙外保温工程技术标准》</w:t>
      </w:r>
      <w:r>
        <w:t>JGJ 144</w:t>
      </w:r>
      <w:r>
        <w:t>和《岩棉薄抹灰外墙外保温工程技术标准》</w:t>
      </w:r>
      <w:r>
        <w:t>JGJ/T 480</w:t>
      </w:r>
      <w:r>
        <w:t>的规定。</w:t>
      </w:r>
    </w:p>
    <w:p w14:paraId="230D86CF"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外墙外保温工</w:t>
      </w:r>
      <w:r>
        <w:t>程施工前，</w:t>
      </w:r>
      <w:r>
        <w:rPr>
          <w:rFonts w:hint="eastAsia"/>
        </w:rPr>
        <w:t>应在现场采用相同材料、</w:t>
      </w:r>
      <w:r>
        <w:t>构造做法和工艺制作样板墙或样板间，并经有关各方确</w:t>
      </w:r>
      <w:r>
        <w:rPr>
          <w:rFonts w:hint="eastAsia"/>
        </w:rPr>
        <w:t>认后，再进行施工。面砖饰面的应对样板的饰面砖粘结强度进行检验。墙体节</w:t>
      </w:r>
      <w:proofErr w:type="gramStart"/>
      <w:r>
        <w:rPr>
          <w:rFonts w:hint="eastAsia"/>
        </w:rPr>
        <w:t>能工程</w:t>
      </w:r>
      <w:proofErr w:type="gramEnd"/>
      <w:r>
        <w:rPr>
          <w:rFonts w:hint="eastAsia"/>
        </w:rPr>
        <w:t>保温板材与基层的粘结强度应做现场拉拔试验，后置锚固件应进行</w:t>
      </w:r>
      <w:proofErr w:type="gramStart"/>
      <w:r>
        <w:rPr>
          <w:rFonts w:hint="eastAsia"/>
        </w:rPr>
        <w:t>锚固力现场</w:t>
      </w:r>
      <w:proofErr w:type="gramEnd"/>
      <w:r>
        <w:rPr>
          <w:rFonts w:hint="eastAsia"/>
        </w:rPr>
        <w:t>拉拔试验。</w:t>
      </w:r>
    </w:p>
    <w:p w14:paraId="58F97ECD"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当住宅高度大于</w:t>
      </w:r>
      <w:r>
        <w:t>27m</w:t>
      </w:r>
      <w:r>
        <w:t>且不大于</w:t>
      </w:r>
      <w:r>
        <w:t>100m</w:t>
      </w:r>
      <w:r>
        <w:t>时，保温材料或制品</w:t>
      </w:r>
      <w:r>
        <w:rPr>
          <w:rFonts w:hint="eastAsia"/>
        </w:rPr>
        <w:t>燃烧性能等级</w:t>
      </w:r>
      <w:r>
        <w:t>不</w:t>
      </w:r>
      <w:r>
        <w:rPr>
          <w:rFonts w:hint="eastAsia"/>
        </w:rPr>
        <w:t>应</w:t>
      </w:r>
      <w:r>
        <w:t>低于</w:t>
      </w:r>
      <w:r>
        <w:t>B</w:t>
      </w:r>
      <w:r>
        <w:rPr>
          <w:vertAlign w:val="subscript"/>
        </w:rPr>
        <w:t>1</w:t>
      </w:r>
      <w:r>
        <w:t>级。</w:t>
      </w:r>
    </w:p>
    <w:p w14:paraId="768262E0"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当外保温系统采用</w:t>
      </w:r>
      <w:r>
        <w:rPr>
          <w:rFonts w:hint="eastAsia"/>
        </w:rPr>
        <w:t>B</w:t>
      </w:r>
      <w:r>
        <w:rPr>
          <w:vertAlign w:val="subscript"/>
        </w:rPr>
        <w:t>1</w:t>
      </w:r>
      <w:r>
        <w:rPr>
          <w:rFonts w:hint="eastAsia"/>
        </w:rPr>
        <w:t>级燃烧性能的保温材料或制品时，应采取防止火灾通过保温系统在建筑的立面或屋面绵延的措施或构造；外墙外保温防火</w:t>
      </w:r>
      <w:r>
        <w:rPr>
          <w:rFonts w:hint="eastAsia"/>
        </w:rPr>
        <w:lastRenderedPageBreak/>
        <w:t>隔离带保温材料的燃烧性能等级应为</w:t>
      </w:r>
      <w:r>
        <w:t>A</w:t>
      </w:r>
      <w:r>
        <w:t>级</w:t>
      </w:r>
      <w:r>
        <w:rPr>
          <w:rFonts w:hint="eastAsia"/>
        </w:rPr>
        <w:t>。防火隔离带</w:t>
      </w:r>
      <w:r>
        <w:rPr>
          <w:rFonts w:hint="eastAsia"/>
        </w:rPr>
        <w:t>保温板应与基层墙体满</w:t>
      </w:r>
      <w:proofErr w:type="gramStart"/>
      <w:r>
        <w:rPr>
          <w:rFonts w:hint="eastAsia"/>
        </w:rPr>
        <w:t>粘</w:t>
      </w:r>
      <w:proofErr w:type="gramEnd"/>
      <w:r>
        <w:rPr>
          <w:rFonts w:hint="eastAsia"/>
        </w:rPr>
        <w:t>。</w:t>
      </w:r>
    </w:p>
    <w:p w14:paraId="03181481"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外保温工程水平或倾斜的出挑部位以及延伸至地面以下</w:t>
      </w:r>
      <w:r>
        <w:t>的部位应做防水处理。</w:t>
      </w:r>
      <w:r>
        <w:t xml:space="preserve"> </w:t>
      </w:r>
    </w:p>
    <w:p w14:paraId="4DD74658"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门窗洞口与门窗交接处、首层</w:t>
      </w:r>
      <w:proofErr w:type="gramStart"/>
      <w:r>
        <w:t>与其他层交接</w:t>
      </w:r>
      <w:proofErr w:type="gramEnd"/>
      <w:r>
        <w:t>处、外墙与屋顶交接处应进行密封和防水构造设计，水不应渗入保温层及基层墙体，重要节点部位应有详图。</w:t>
      </w:r>
    </w:p>
    <w:p w14:paraId="56B281A0"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穿过外保温系统安装的设备、穿墙管线或支架等应固定在基层墙体上，并应做密封和防水设计。基层墙体变形缝处应采取防水和保温构造处理。</w:t>
      </w:r>
    </w:p>
    <w:p w14:paraId="1923B7EF"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外保温工程应进行系统的起端、终端以及檐口、勒脚处的翻包或包边处理。装饰缝、门窗四角和阴阳角等部位应设置增强玻纤</w:t>
      </w:r>
      <w:r>
        <w:t>网。</w:t>
      </w:r>
    </w:p>
    <w:p w14:paraId="0A541961"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女儿墙内外均应进行保温处理，女儿墙</w:t>
      </w:r>
      <w:r>
        <w:t>内侧保温应与屋顶保温</w:t>
      </w:r>
      <w:r>
        <w:rPr>
          <w:rFonts w:hint="eastAsia"/>
        </w:rPr>
        <w:t>衔接。</w:t>
      </w:r>
    </w:p>
    <w:p w14:paraId="575E51A3"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外保温系统的各种组成材料应配套供应。</w:t>
      </w:r>
      <w:r>
        <w:t>采用的所有配件应与外保温系统性能相容，并应符合国家现行相关标准的规定。</w:t>
      </w:r>
    </w:p>
    <w:p w14:paraId="586ECB48"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外墙</w:t>
      </w:r>
      <w:proofErr w:type="gramStart"/>
      <w:r>
        <w:rPr>
          <w:rFonts w:hint="eastAsia"/>
        </w:rPr>
        <w:t>宜合理</w:t>
      </w:r>
      <w:proofErr w:type="gramEnd"/>
      <w:r>
        <w:rPr>
          <w:rFonts w:hint="eastAsia"/>
        </w:rPr>
        <w:t>采用保温装饰一体化系统或结构保温一体化系统。</w:t>
      </w:r>
    </w:p>
    <w:p w14:paraId="2D7966AB"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当采用保温装饰一体化板时，锚栓数量应满足</w:t>
      </w:r>
      <w:proofErr w:type="gramStart"/>
      <w:r>
        <w:rPr>
          <w:rFonts w:hint="eastAsia"/>
        </w:rPr>
        <w:t>现行行业</w:t>
      </w:r>
      <w:proofErr w:type="gramEnd"/>
      <w:r>
        <w:rPr>
          <w:rFonts w:hint="eastAsia"/>
        </w:rPr>
        <w:t>标准《</w:t>
      </w:r>
      <w:r>
        <w:t>保温防火复合板应用技术规程</w:t>
      </w:r>
      <w:r>
        <w:rPr>
          <w:rFonts w:hint="eastAsia"/>
        </w:rPr>
        <w:t>》</w:t>
      </w:r>
      <w:r>
        <w:t>JGJ/T 350</w:t>
      </w:r>
      <w:r>
        <w:rPr>
          <w:rFonts w:hint="eastAsia"/>
        </w:rPr>
        <w:t>的规定，有条件的项目宜按风荷载计算锚栓的数量。</w:t>
      </w:r>
    </w:p>
    <w:p w14:paraId="25647BF9"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外墙采用保温装饰一体化板时，应采用粘锚结合的固定方式，单板面积不宜大于</w:t>
      </w:r>
      <w:r>
        <w:t>l</w:t>
      </w:r>
      <w:r>
        <w:rPr>
          <w:rFonts w:hint="eastAsia"/>
        </w:rPr>
        <w:t>m</w:t>
      </w:r>
      <w:r>
        <w:rPr>
          <w:vertAlign w:val="superscript"/>
        </w:rPr>
        <w:t>2</w:t>
      </w:r>
      <w:r>
        <w:rPr>
          <w:rFonts w:hint="eastAsia"/>
        </w:rPr>
        <w:t>。</w:t>
      </w:r>
      <w:r>
        <w:t>I</w:t>
      </w:r>
      <w:r>
        <w:t>型</w:t>
      </w:r>
      <w:r>
        <w:rPr>
          <w:rFonts w:hint="eastAsia"/>
        </w:rPr>
        <w:t>保温装饰一体化</w:t>
      </w:r>
      <w:proofErr w:type="gramStart"/>
      <w:r>
        <w:rPr>
          <w:rFonts w:hint="eastAsia"/>
        </w:rPr>
        <w:t>板</w:t>
      </w:r>
      <w:r>
        <w:t>单位</w:t>
      </w:r>
      <w:proofErr w:type="gramEnd"/>
      <w:r>
        <w:t>面积质量应小于</w:t>
      </w:r>
      <w:r>
        <w:t>20kg/</w:t>
      </w:r>
      <w:r>
        <w:rPr>
          <w:rFonts w:hint="eastAsia"/>
        </w:rPr>
        <w:t>m</w:t>
      </w:r>
      <w:r>
        <w:rPr>
          <w:vertAlign w:val="superscript"/>
        </w:rPr>
        <w:t>2</w:t>
      </w:r>
      <w:r>
        <w:rPr>
          <w:rFonts w:hint="eastAsia"/>
        </w:rPr>
        <w:t>，Ⅱ</w:t>
      </w:r>
      <w:r>
        <w:t>型</w:t>
      </w:r>
      <w:r>
        <w:rPr>
          <w:rFonts w:hint="eastAsia"/>
        </w:rPr>
        <w:t>保温装饰一体化</w:t>
      </w:r>
      <w:proofErr w:type="gramStart"/>
      <w:r>
        <w:rPr>
          <w:rFonts w:hint="eastAsia"/>
        </w:rPr>
        <w:t>板</w:t>
      </w:r>
      <w:r>
        <w:t>单位</w:t>
      </w:r>
      <w:proofErr w:type="gramEnd"/>
      <w:r>
        <w:t>面积</w:t>
      </w:r>
      <w:r>
        <w:rPr>
          <w:rFonts w:hint="eastAsia"/>
        </w:rPr>
        <w:t>重量</w:t>
      </w:r>
      <w:r>
        <w:t>应为</w:t>
      </w:r>
      <w:r>
        <w:t>20kg/</w:t>
      </w:r>
      <w:r>
        <w:rPr>
          <w:rFonts w:hint="eastAsia"/>
        </w:rPr>
        <w:t>m</w:t>
      </w:r>
      <w:r>
        <w:rPr>
          <w:vertAlign w:val="superscript"/>
        </w:rPr>
        <w:t>2</w:t>
      </w:r>
      <w:r>
        <w:rPr>
          <w:rFonts w:hint="eastAsia"/>
        </w:rPr>
        <w:t>～</w:t>
      </w:r>
      <w:r>
        <w:t>30kg/</w:t>
      </w:r>
      <w:r>
        <w:rPr>
          <w:rFonts w:hint="eastAsia"/>
        </w:rPr>
        <w:t>m</w:t>
      </w:r>
      <w:r>
        <w:rPr>
          <w:vertAlign w:val="superscript"/>
        </w:rPr>
        <w:t>2</w:t>
      </w:r>
      <w:r>
        <w:rPr>
          <w:rFonts w:hint="eastAsia"/>
        </w:rPr>
        <w:t>。锚固件数量满足设计要求。</w:t>
      </w:r>
    </w:p>
    <w:p w14:paraId="1AF4CEBC"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外墙采用保温装饰一体化板时，</w:t>
      </w:r>
      <w:r>
        <w:t>I</w:t>
      </w:r>
      <w:r>
        <w:t>型</w:t>
      </w:r>
      <w:r>
        <w:rPr>
          <w:rFonts w:hint="eastAsia"/>
        </w:rPr>
        <w:t>保温装饰一体化板的粘结面积不应小于保温装饰一体化板板面积的</w:t>
      </w:r>
      <w:r>
        <w:t>50%</w:t>
      </w:r>
      <w:r>
        <w:rPr>
          <w:rFonts w:hint="eastAsia"/>
        </w:rPr>
        <w:t>，Ⅱ</w:t>
      </w:r>
      <w:r>
        <w:t>型</w:t>
      </w:r>
      <w:r>
        <w:rPr>
          <w:rFonts w:hint="eastAsia"/>
        </w:rPr>
        <w:t>保温装饰一体化板</w:t>
      </w:r>
      <w:r>
        <w:t>的粘结面积不应小于</w:t>
      </w:r>
      <w:r>
        <w:rPr>
          <w:rFonts w:hint="eastAsia"/>
        </w:rPr>
        <w:t>保温装饰一体化板</w:t>
      </w:r>
      <w:r>
        <w:t>板面积的</w:t>
      </w:r>
      <w:r>
        <w:t>60%</w:t>
      </w:r>
      <w:r>
        <w:t>。</w:t>
      </w:r>
      <w:r>
        <w:rPr>
          <w:rFonts w:hint="eastAsia"/>
        </w:rPr>
        <w:t>有条件时应采用条粘法，粘接面积不应小于</w:t>
      </w:r>
      <w:r>
        <w:rPr>
          <w:rFonts w:hint="eastAsia"/>
        </w:rPr>
        <w:t>8</w:t>
      </w:r>
      <w:r>
        <w:t>0%</w:t>
      </w:r>
      <w:r>
        <w:rPr>
          <w:rFonts w:hint="eastAsia"/>
        </w:rPr>
        <w:t>。</w:t>
      </w:r>
    </w:p>
    <w:p w14:paraId="3CABBC84" w14:textId="77777777" w:rsidR="00622EE7" w:rsidRDefault="00E60909">
      <w:pPr>
        <w:spacing w:beforeLines="50" w:before="163" w:afterLines="50" w:after="163" w:line="360" w:lineRule="auto"/>
        <w:jc w:val="center"/>
        <w:outlineLvl w:val="1"/>
        <w:rPr>
          <w:rFonts w:ascii="Times New Roman" w:eastAsia="黑体" w:hAnsi="Times New Roman"/>
        </w:rPr>
      </w:pPr>
      <w:bookmarkStart w:id="47" w:name="_Toc182841362"/>
      <w:r>
        <w:rPr>
          <w:rFonts w:ascii="Times New Roman" w:eastAsia="黑体" w:hAnsi="Times New Roman"/>
        </w:rPr>
        <w:t xml:space="preserve">8.4 </w:t>
      </w:r>
      <w:r>
        <w:rPr>
          <w:rFonts w:ascii="Times New Roman" w:eastAsia="黑体" w:hAnsi="Times New Roman" w:hint="eastAsia"/>
        </w:rPr>
        <w:t>装饰装修</w:t>
      </w:r>
      <w:bookmarkEnd w:id="47"/>
    </w:p>
    <w:p w14:paraId="236BF2F7" w14:textId="77777777" w:rsidR="00622EE7" w:rsidRDefault="00E60909">
      <w:pPr>
        <w:pStyle w:val="af3"/>
        <w:numPr>
          <w:ilvl w:val="0"/>
          <w:numId w:val="23"/>
        </w:numPr>
        <w:ind w:left="0" w:firstLineChars="0" w:firstLine="0"/>
        <w:contextualSpacing/>
      </w:pPr>
      <w:r>
        <w:rPr>
          <w:rFonts w:ascii="楷体" w:eastAsia="楷体" w:hAnsi="楷体" w:hint="eastAsia"/>
        </w:rPr>
        <w:t>【基础项】</w:t>
      </w:r>
      <w:r>
        <w:t>装修选用的材料、制品、设备设施应选用绿色环保产品，有害</w:t>
      </w:r>
      <w:r>
        <w:lastRenderedPageBreak/>
        <w:t>物质限量应符合</w:t>
      </w:r>
      <w:r>
        <w:rPr>
          <w:rFonts w:hint="eastAsia"/>
        </w:rPr>
        <w:t>现行国家标准</w:t>
      </w:r>
      <w:r>
        <w:t>《民用建筑工程室内环境污染控制</w:t>
      </w:r>
      <w:r>
        <w:rPr>
          <w:rFonts w:hint="eastAsia"/>
        </w:rPr>
        <w:t>标准</w:t>
      </w:r>
      <w:r>
        <w:t>》</w:t>
      </w:r>
      <w:r>
        <w:t>GB 50325</w:t>
      </w:r>
      <w:r>
        <w:t>、《建筑材料放射性核素限量》</w:t>
      </w:r>
      <w:r>
        <w:t>GB 6566</w:t>
      </w:r>
      <w:r>
        <w:rPr>
          <w:rFonts w:hint="eastAsia"/>
        </w:rPr>
        <w:t>的</w:t>
      </w:r>
      <w:r>
        <w:t>相关规定，严禁使用国家明令禁止使用或者淘汰的装修材料。</w:t>
      </w:r>
    </w:p>
    <w:p w14:paraId="7F54AD7E" w14:textId="77777777" w:rsidR="00622EE7" w:rsidRDefault="00E60909">
      <w:pPr>
        <w:pStyle w:val="af3"/>
        <w:numPr>
          <w:ilvl w:val="0"/>
          <w:numId w:val="23"/>
        </w:numPr>
        <w:ind w:left="0" w:firstLineChars="0" w:firstLine="0"/>
        <w:contextualSpacing/>
      </w:pPr>
      <w:r>
        <w:rPr>
          <w:rFonts w:ascii="楷体" w:eastAsia="楷体" w:hAnsi="楷体" w:hint="eastAsia"/>
        </w:rPr>
        <w:t>【品质项】</w:t>
      </w:r>
      <w:r>
        <w:rPr>
          <w:rFonts w:hint="eastAsia"/>
        </w:rPr>
        <w:t>地面应采用防滑材料，满足下列要求：</w:t>
      </w:r>
    </w:p>
    <w:p w14:paraId="6E90AAB7" w14:textId="77777777" w:rsidR="00622EE7" w:rsidRDefault="00E60909">
      <w:pPr>
        <w:pStyle w:val="af3"/>
        <w:numPr>
          <w:ilvl w:val="0"/>
          <w:numId w:val="24"/>
        </w:numPr>
        <w:spacing w:beforeLines="25" w:before="81"/>
        <w:ind w:left="0" w:firstLine="460"/>
        <w:contextualSpacing/>
      </w:pPr>
      <w:r>
        <w:rPr>
          <w:rFonts w:hint="eastAsia"/>
          <w:sz w:val="23"/>
          <w:szCs w:val="23"/>
        </w:rPr>
        <w:t>建筑出入口及平台、公共走廊、电梯门厅、厨房、浴室、卫生间</w:t>
      </w:r>
      <w:r>
        <w:rPr>
          <w:rFonts w:hint="eastAsia"/>
        </w:rPr>
        <w:t>的地面材料防滑等级不应低于</w:t>
      </w:r>
      <w:proofErr w:type="gramStart"/>
      <w:r>
        <w:rPr>
          <w:rFonts w:hint="eastAsia"/>
        </w:rPr>
        <w:t>现行行业</w:t>
      </w:r>
      <w:proofErr w:type="gramEnd"/>
      <w:r>
        <w:rPr>
          <w:rFonts w:hint="eastAsia"/>
        </w:rPr>
        <w:t>标准《建筑地面工程防滑技术规程》</w:t>
      </w:r>
      <w:r>
        <w:t>JGJ/T 331</w:t>
      </w:r>
      <w:r>
        <w:t>规定的</w:t>
      </w:r>
      <w:r>
        <w:rPr>
          <w:i/>
        </w:rPr>
        <w:t>B</w:t>
      </w:r>
      <w:r>
        <w:rPr>
          <w:i/>
          <w:vertAlign w:val="subscript"/>
        </w:rPr>
        <w:t>d</w:t>
      </w:r>
      <w:r>
        <w:t>、</w:t>
      </w:r>
      <w:proofErr w:type="spellStart"/>
      <w:r>
        <w:rPr>
          <w:i/>
        </w:rPr>
        <w:t>B</w:t>
      </w:r>
      <w:r>
        <w:rPr>
          <w:i/>
          <w:vertAlign w:val="subscript"/>
        </w:rPr>
        <w:t>w</w:t>
      </w:r>
      <w:proofErr w:type="spellEnd"/>
      <w:r>
        <w:t>级</w:t>
      </w:r>
      <w:r>
        <w:rPr>
          <w:rFonts w:hint="eastAsia"/>
        </w:rPr>
        <w:t>；</w:t>
      </w:r>
    </w:p>
    <w:p w14:paraId="3EF216B5" w14:textId="77777777" w:rsidR="00622EE7" w:rsidRDefault="00E60909">
      <w:pPr>
        <w:pStyle w:val="af3"/>
        <w:numPr>
          <w:ilvl w:val="0"/>
          <w:numId w:val="24"/>
        </w:numPr>
        <w:spacing w:beforeLines="25" w:before="81"/>
        <w:ind w:left="0" w:firstLine="460"/>
        <w:contextualSpacing/>
      </w:pPr>
      <w:r>
        <w:rPr>
          <w:rFonts w:hint="eastAsia"/>
          <w:sz w:val="23"/>
          <w:szCs w:val="23"/>
        </w:rPr>
        <w:t>室内活动场所采用的防滑地面</w:t>
      </w:r>
      <w:r>
        <w:rPr>
          <w:rFonts w:hint="eastAsia"/>
        </w:rPr>
        <w:t>的防滑等级不应低于</w:t>
      </w:r>
      <w:proofErr w:type="gramStart"/>
      <w:r>
        <w:rPr>
          <w:rFonts w:hint="eastAsia"/>
        </w:rPr>
        <w:t>现行行业</w:t>
      </w:r>
      <w:proofErr w:type="gramEnd"/>
      <w:r>
        <w:rPr>
          <w:rFonts w:hint="eastAsia"/>
        </w:rPr>
        <w:t>标准《建筑地面工程防</w:t>
      </w:r>
      <w:r>
        <w:rPr>
          <w:rFonts w:hint="eastAsia"/>
        </w:rPr>
        <w:t>滑技术规程》</w:t>
      </w:r>
      <w:r>
        <w:t>JGJ/T 331</w:t>
      </w:r>
      <w:r>
        <w:t>规定的</w:t>
      </w:r>
      <w:r>
        <w:rPr>
          <w:i/>
        </w:rPr>
        <w:t>A</w:t>
      </w:r>
      <w:r>
        <w:rPr>
          <w:i/>
          <w:vertAlign w:val="subscript"/>
        </w:rPr>
        <w:t>d</w:t>
      </w:r>
      <w:r>
        <w:t>、</w:t>
      </w:r>
      <w:r>
        <w:rPr>
          <w:i/>
        </w:rPr>
        <w:t>A</w:t>
      </w:r>
      <w:r>
        <w:rPr>
          <w:i/>
          <w:vertAlign w:val="subscript"/>
        </w:rPr>
        <w:t>w</w:t>
      </w:r>
      <w:r>
        <w:t>级</w:t>
      </w:r>
      <w:r>
        <w:rPr>
          <w:rFonts w:hint="eastAsia"/>
        </w:rPr>
        <w:t>；</w:t>
      </w:r>
    </w:p>
    <w:p w14:paraId="685DEAB4" w14:textId="77777777" w:rsidR="00622EE7" w:rsidRDefault="00E60909">
      <w:pPr>
        <w:pStyle w:val="af3"/>
        <w:numPr>
          <w:ilvl w:val="0"/>
          <w:numId w:val="24"/>
        </w:numPr>
        <w:spacing w:beforeLines="25" w:before="81"/>
        <w:ind w:left="0" w:firstLine="460"/>
        <w:contextualSpacing/>
      </w:pPr>
      <w:r>
        <w:rPr>
          <w:rFonts w:hint="eastAsia"/>
          <w:sz w:val="23"/>
          <w:szCs w:val="23"/>
        </w:rPr>
        <w:t>建筑坡道、楼梯踏步</w:t>
      </w:r>
      <w:r>
        <w:rPr>
          <w:rFonts w:hint="eastAsia"/>
        </w:rPr>
        <w:t>防滑等级</w:t>
      </w:r>
      <w:proofErr w:type="gramStart"/>
      <w:r>
        <w:rPr>
          <w:rFonts w:hint="eastAsia"/>
        </w:rPr>
        <w:t>宜达到现行行业</w:t>
      </w:r>
      <w:proofErr w:type="gramEnd"/>
      <w:r>
        <w:rPr>
          <w:rFonts w:hint="eastAsia"/>
        </w:rPr>
        <w:t>标准《建筑地面工程防滑技术规程》</w:t>
      </w:r>
      <w:r>
        <w:t>JGJ/T 331</w:t>
      </w:r>
      <w:r>
        <w:t>规定的</w:t>
      </w:r>
      <w:r>
        <w:rPr>
          <w:i/>
        </w:rPr>
        <w:t>A</w:t>
      </w:r>
      <w:r>
        <w:rPr>
          <w:i/>
          <w:vertAlign w:val="subscript"/>
        </w:rPr>
        <w:t>d</w:t>
      </w:r>
      <w:r>
        <w:t>、</w:t>
      </w:r>
      <w:r>
        <w:rPr>
          <w:i/>
        </w:rPr>
        <w:t>A</w:t>
      </w:r>
      <w:r>
        <w:rPr>
          <w:i/>
          <w:vertAlign w:val="subscript"/>
        </w:rPr>
        <w:t>w</w:t>
      </w:r>
      <w:r>
        <w:t>级</w:t>
      </w:r>
      <w:r>
        <w:rPr>
          <w:rFonts w:hint="eastAsia"/>
        </w:rPr>
        <w:t>，或</w:t>
      </w:r>
      <w:r>
        <w:t>按水平地面等级提高一级，并采用防滑条等防滑构造技术措施</w:t>
      </w:r>
      <w:r>
        <w:rPr>
          <w:rFonts w:hint="eastAsia"/>
        </w:rPr>
        <w:t>。</w:t>
      </w:r>
    </w:p>
    <w:p w14:paraId="7601EA22" w14:textId="77777777" w:rsidR="00622EE7" w:rsidRDefault="00E60909">
      <w:pPr>
        <w:pStyle w:val="af3"/>
        <w:numPr>
          <w:ilvl w:val="0"/>
          <w:numId w:val="23"/>
        </w:numPr>
        <w:ind w:left="0" w:firstLineChars="0" w:firstLine="0"/>
        <w:contextualSpacing/>
      </w:pPr>
      <w:r>
        <w:rPr>
          <w:rFonts w:ascii="楷体" w:eastAsia="楷体" w:hAnsi="楷体" w:hint="eastAsia"/>
        </w:rPr>
        <w:t>【提升项】</w:t>
      </w:r>
      <w:r>
        <w:rPr>
          <w:rFonts w:hint="eastAsia"/>
        </w:rPr>
        <w:t>选用的有釉陶瓷地砖耐磨性不宜低于</w:t>
      </w:r>
      <w:r>
        <w:rPr>
          <w:rFonts w:hint="eastAsia"/>
        </w:rPr>
        <w:t>4</w:t>
      </w:r>
      <w:r>
        <w:rPr>
          <w:rFonts w:hint="eastAsia"/>
        </w:rPr>
        <w:t>级，无釉陶瓷</w:t>
      </w:r>
      <w:proofErr w:type="gramStart"/>
      <w:r>
        <w:rPr>
          <w:rFonts w:hint="eastAsia"/>
        </w:rPr>
        <w:t>地砖磨坑体积</w:t>
      </w:r>
      <w:proofErr w:type="gramEnd"/>
      <w:r>
        <w:rPr>
          <w:rFonts w:hint="eastAsia"/>
        </w:rPr>
        <w:t>不宜大于</w:t>
      </w:r>
      <w:r>
        <w:rPr>
          <w:rFonts w:hint="eastAsia"/>
        </w:rPr>
        <w:t>1</w:t>
      </w:r>
      <w:r>
        <w:t>27</w:t>
      </w:r>
      <w:r>
        <w:rPr>
          <w:rFonts w:hint="eastAsia"/>
        </w:rPr>
        <w:t>mm</w:t>
      </w:r>
      <w:r>
        <w:rPr>
          <w:vertAlign w:val="superscript"/>
        </w:rPr>
        <w:t>3</w:t>
      </w:r>
      <w:r>
        <w:rPr>
          <w:rFonts w:hint="eastAsia"/>
        </w:rPr>
        <w:t>。</w:t>
      </w:r>
    </w:p>
    <w:p w14:paraId="42800606" w14:textId="77777777" w:rsidR="00622EE7" w:rsidRDefault="00E60909">
      <w:pPr>
        <w:pStyle w:val="af8"/>
        <w:numPr>
          <w:ilvl w:val="0"/>
          <w:numId w:val="23"/>
        </w:numPr>
        <w:ind w:left="0" w:firstLine="0"/>
      </w:pPr>
      <w:r>
        <w:rPr>
          <w:rFonts w:ascii="楷体" w:eastAsia="楷体" w:hAnsi="楷体" w:hint="eastAsia"/>
        </w:rPr>
        <w:t>【品质项】</w:t>
      </w:r>
      <w:r>
        <w:t>住宅单元大堂（门厅）、走廊等公共空间色彩搭配合理，住宅单元大堂（门厅）</w:t>
      </w:r>
      <w:r>
        <w:rPr>
          <w:rFonts w:hint="eastAsia"/>
        </w:rPr>
        <w:t>应</w:t>
      </w:r>
      <w:r>
        <w:t>设置照壁或背景墙</w:t>
      </w:r>
      <w:proofErr w:type="gramStart"/>
      <w:r>
        <w:t>等欢迎</w:t>
      </w:r>
      <w:proofErr w:type="gramEnd"/>
      <w:r>
        <w:t>空间</w:t>
      </w:r>
      <w:r>
        <w:rPr>
          <w:rFonts w:hint="eastAsia"/>
        </w:rPr>
        <w:t>。</w:t>
      </w:r>
    </w:p>
    <w:p w14:paraId="4473EEC5" w14:textId="77777777" w:rsidR="00622EE7" w:rsidRDefault="00E60909">
      <w:pPr>
        <w:pStyle w:val="af8"/>
        <w:numPr>
          <w:ilvl w:val="0"/>
          <w:numId w:val="23"/>
        </w:numPr>
        <w:ind w:left="0" w:firstLine="0"/>
        <w:rPr>
          <w:rFonts w:ascii="宋体" w:hAnsi="宋体"/>
        </w:rPr>
      </w:pPr>
      <w:r>
        <w:rPr>
          <w:rFonts w:ascii="楷体" w:eastAsia="楷体" w:hAnsi="楷体" w:hint="eastAsia"/>
        </w:rPr>
        <w:t>【提升项】</w:t>
      </w:r>
      <w:r>
        <w:rPr>
          <w:rFonts w:ascii="宋体" w:hAnsi="宋体" w:hint="eastAsia"/>
        </w:rPr>
        <w:t>单元大堂（门厅）、地下大堂（门厅）及标准层公共走廊宜采用墙面砖等耐磨、耐划痕、防潮、易清洁饰面</w:t>
      </w:r>
      <w:r>
        <w:rPr>
          <w:rFonts w:ascii="宋体" w:hAnsi="宋体"/>
        </w:rPr>
        <w:t>。</w:t>
      </w:r>
    </w:p>
    <w:p w14:paraId="2E9BC632" w14:textId="77777777" w:rsidR="00622EE7" w:rsidRDefault="00E60909">
      <w:pPr>
        <w:pStyle w:val="af8"/>
        <w:numPr>
          <w:ilvl w:val="0"/>
          <w:numId w:val="23"/>
        </w:numPr>
        <w:ind w:left="0" w:firstLine="0"/>
      </w:pPr>
      <w:r>
        <w:rPr>
          <w:rFonts w:ascii="楷体" w:eastAsia="楷体" w:hAnsi="楷体" w:hint="eastAsia"/>
        </w:rPr>
        <w:t>【品质项】</w:t>
      </w:r>
      <w:r>
        <w:rPr>
          <w:rFonts w:hint="eastAsia"/>
        </w:rPr>
        <w:t>室内公共区域装修不应有尖锐边缘，应采用弧形阳角或设置防磕碰措施，有老人、儿童集中活动的区域应设有</w:t>
      </w:r>
      <w:proofErr w:type="gramStart"/>
      <w:r>
        <w:rPr>
          <w:rFonts w:hint="eastAsia"/>
        </w:rPr>
        <w:t>安全抓杆或</w:t>
      </w:r>
      <w:proofErr w:type="gramEnd"/>
      <w:r>
        <w:rPr>
          <w:rFonts w:hint="eastAsia"/>
        </w:rPr>
        <w:t>扶手。</w:t>
      </w:r>
    </w:p>
    <w:p w14:paraId="290F42B5" w14:textId="77777777" w:rsidR="00622EE7" w:rsidRDefault="00E60909">
      <w:pPr>
        <w:pStyle w:val="af8"/>
        <w:numPr>
          <w:ilvl w:val="0"/>
          <w:numId w:val="23"/>
        </w:numPr>
        <w:ind w:left="0" w:firstLine="0"/>
      </w:pPr>
      <w:r>
        <w:rPr>
          <w:rFonts w:ascii="楷体" w:eastAsia="楷体" w:hAnsi="楷体" w:hint="eastAsia"/>
        </w:rPr>
        <w:t>【基础项】</w:t>
      </w:r>
      <w:r>
        <w:rPr>
          <w:rFonts w:hint="eastAsia"/>
        </w:rPr>
        <w:t>住宅共用部分各功能空间应进行管线综合布置，并应在满足建筑、消防等功能的前提下，确定吊顶构造及造型。</w:t>
      </w:r>
    </w:p>
    <w:p w14:paraId="497EEBBA" w14:textId="77777777" w:rsidR="00622EE7" w:rsidRDefault="00E60909">
      <w:pPr>
        <w:pStyle w:val="af8"/>
        <w:numPr>
          <w:ilvl w:val="0"/>
          <w:numId w:val="23"/>
        </w:numPr>
        <w:ind w:left="0" w:firstLine="0"/>
      </w:pPr>
      <w:r>
        <w:rPr>
          <w:rFonts w:ascii="楷体" w:eastAsia="楷体" w:hAnsi="楷体" w:hint="eastAsia"/>
        </w:rPr>
        <w:t>【基础项】</w:t>
      </w:r>
      <w:r>
        <w:rPr>
          <w:rFonts w:ascii="宋体" w:hAnsi="宋体" w:hint="eastAsia"/>
        </w:rPr>
        <w:t>住宅</w:t>
      </w:r>
      <w:r>
        <w:rPr>
          <w:rFonts w:hint="eastAsia"/>
        </w:rPr>
        <w:t>共用空间装修不应遮挡消防设施标识、疏散指示标识。消火栓箱门四周的装修材料颜色应与消火栓箱门的颜色有明显区别或在消火栓箱门表面设置发光标志。</w:t>
      </w:r>
    </w:p>
    <w:p w14:paraId="25260D79" w14:textId="77777777" w:rsidR="00622EE7" w:rsidRDefault="00E60909">
      <w:pPr>
        <w:pStyle w:val="af8"/>
        <w:numPr>
          <w:ilvl w:val="0"/>
          <w:numId w:val="23"/>
        </w:numPr>
        <w:ind w:left="0" w:firstLine="0"/>
      </w:pPr>
      <w:r>
        <w:rPr>
          <w:rFonts w:ascii="楷体" w:eastAsia="楷体" w:hAnsi="楷体" w:hint="eastAsia"/>
        </w:rPr>
        <w:t>【品质项】</w:t>
      </w:r>
      <w:r>
        <w:rPr>
          <w:rFonts w:hint="eastAsia"/>
        </w:rPr>
        <w:t>主要共用空间设置</w:t>
      </w:r>
      <w:r>
        <w:rPr>
          <w:rFonts w:hint="eastAsia"/>
        </w:rPr>
        <w:t>的各类标识和标志应醒目、易识别，并满足无障碍设计要求。高层住宅应在门厅明显位置设置通往楼梯、电梯的指示标识。</w:t>
      </w:r>
    </w:p>
    <w:p w14:paraId="3FDF98B3" w14:textId="449243F1" w:rsidR="00622EE7" w:rsidRDefault="00E60909">
      <w:pPr>
        <w:pStyle w:val="af3"/>
        <w:numPr>
          <w:ilvl w:val="0"/>
          <w:numId w:val="23"/>
        </w:numPr>
        <w:ind w:left="0" w:firstLineChars="0" w:firstLine="0"/>
        <w:contextualSpacing/>
      </w:pPr>
      <w:r>
        <w:rPr>
          <w:rFonts w:ascii="楷体" w:eastAsia="楷体" w:hAnsi="楷体" w:hint="eastAsia"/>
        </w:rPr>
        <w:t>【品质项】</w:t>
      </w:r>
      <w:r>
        <w:rPr>
          <w:rFonts w:hint="eastAsia"/>
        </w:rPr>
        <w:t>玻璃应符合</w:t>
      </w:r>
      <w:proofErr w:type="gramStart"/>
      <w:r>
        <w:rPr>
          <w:rFonts w:hint="eastAsia"/>
        </w:rPr>
        <w:t>现行行业</w:t>
      </w:r>
      <w:proofErr w:type="gramEnd"/>
      <w:r>
        <w:rPr>
          <w:rFonts w:hint="eastAsia"/>
        </w:rPr>
        <w:t>标准《建筑玻璃应用技术规程》</w:t>
      </w:r>
      <w:r>
        <w:t>JGJ 113</w:t>
      </w:r>
      <w:r>
        <w:t>的</w:t>
      </w:r>
      <w:r>
        <w:rPr>
          <w:rFonts w:hint="eastAsia"/>
        </w:rPr>
        <w:lastRenderedPageBreak/>
        <w:t>要求，电梯、配套服务设施的门窗等</w:t>
      </w:r>
      <w:r>
        <w:t>采用具备防夹功能的</w:t>
      </w:r>
      <w:r>
        <w:rPr>
          <w:rFonts w:hint="eastAsia"/>
        </w:rPr>
        <w:t>产品，</w:t>
      </w:r>
      <w:r>
        <w:t>窗扇</w:t>
      </w:r>
      <w:r>
        <w:rPr>
          <w:rFonts w:hint="eastAsia"/>
        </w:rPr>
        <w:t>宜</w:t>
      </w:r>
      <w:r>
        <w:t>设护角或采用其他防磕碰措施，提高门窗、玻璃、电梯</w:t>
      </w:r>
      <w:r>
        <w:rPr>
          <w:rFonts w:hint="eastAsia"/>
        </w:rPr>
        <w:t>使用中</w:t>
      </w:r>
      <w:r>
        <w:t>的安全性能</w:t>
      </w:r>
      <w:r>
        <w:rPr>
          <w:rFonts w:hint="eastAsia"/>
        </w:rPr>
        <w:t>。</w:t>
      </w:r>
    </w:p>
    <w:p w14:paraId="7FF1D846" w14:textId="77777777" w:rsidR="00622EE7" w:rsidRDefault="00E60909">
      <w:pPr>
        <w:pStyle w:val="af3"/>
        <w:numPr>
          <w:ilvl w:val="0"/>
          <w:numId w:val="23"/>
        </w:numPr>
        <w:ind w:left="0" w:firstLineChars="0" w:firstLine="0"/>
        <w:contextualSpacing/>
      </w:pPr>
      <w:r>
        <w:rPr>
          <w:rFonts w:ascii="楷体" w:eastAsia="楷体" w:hAnsi="楷体" w:hint="eastAsia"/>
        </w:rPr>
        <w:t>【品质项】</w:t>
      </w:r>
      <w:r>
        <w:t>防护栏杆垂直杆件水平净距应＜</w:t>
      </w:r>
      <w:r>
        <w:t>0.11m</w:t>
      </w:r>
      <w:r>
        <w:t>，</w:t>
      </w:r>
      <w:r>
        <w:rPr>
          <w:rFonts w:hint="eastAsia"/>
        </w:rPr>
        <w:t>或采取其他</w:t>
      </w:r>
      <w:r>
        <w:t>防止物品坠落伤人</w:t>
      </w:r>
      <w:r>
        <w:rPr>
          <w:rFonts w:hint="eastAsia"/>
        </w:rPr>
        <w:t>的措施。</w:t>
      </w:r>
    </w:p>
    <w:p w14:paraId="7C03000B" w14:textId="77777777" w:rsidR="00622EE7" w:rsidRDefault="00E60909">
      <w:pPr>
        <w:pStyle w:val="af8"/>
        <w:numPr>
          <w:ilvl w:val="0"/>
          <w:numId w:val="23"/>
        </w:numPr>
        <w:ind w:left="0" w:firstLine="0"/>
      </w:pPr>
      <w:r>
        <w:rPr>
          <w:rFonts w:ascii="楷体" w:eastAsia="楷体" w:hAnsi="楷体" w:hint="eastAsia"/>
        </w:rPr>
        <w:t>【提升项】</w:t>
      </w:r>
      <w:r>
        <w:t>门窗的反复启闭性能</w:t>
      </w:r>
      <w:r>
        <w:rPr>
          <w:rFonts w:hint="eastAsia"/>
        </w:rPr>
        <w:t>应</w:t>
      </w:r>
      <w:r>
        <w:t>满足设计要求，且门的反复启闭次数不</w:t>
      </w:r>
      <w:r>
        <w:rPr>
          <w:rFonts w:hint="eastAsia"/>
        </w:rPr>
        <w:t>宜</w:t>
      </w:r>
      <w:r>
        <w:t>少于</w:t>
      </w:r>
      <w:r>
        <w:t>20</w:t>
      </w:r>
      <w:r>
        <w:t>万次，窗的反复启闭次数不</w:t>
      </w:r>
      <w:r>
        <w:rPr>
          <w:rFonts w:hint="eastAsia"/>
        </w:rPr>
        <w:t>宜</w:t>
      </w:r>
      <w:r>
        <w:t>少于</w:t>
      </w:r>
      <w:r>
        <w:t>2</w:t>
      </w:r>
      <w:r>
        <w:t>万次。</w:t>
      </w:r>
    </w:p>
    <w:p w14:paraId="1A25A7B3" w14:textId="77777777" w:rsidR="00622EE7" w:rsidRDefault="00E60909">
      <w:pPr>
        <w:pStyle w:val="af8"/>
        <w:numPr>
          <w:ilvl w:val="0"/>
          <w:numId w:val="23"/>
        </w:numPr>
        <w:ind w:left="0" w:firstLine="0"/>
      </w:pPr>
      <w:r>
        <w:rPr>
          <w:rFonts w:ascii="楷体" w:eastAsia="楷体" w:hAnsi="楷体" w:hint="eastAsia"/>
        </w:rPr>
        <w:t>【品质项】</w:t>
      </w:r>
      <w:r>
        <w:rPr>
          <w:rFonts w:hint="eastAsia"/>
        </w:rPr>
        <w:t>户门门槛高度及门内外地面高差不应大于</w:t>
      </w:r>
      <w:r>
        <w:rPr>
          <w:rFonts w:hint="eastAsia"/>
        </w:rPr>
        <w:t>15 mm</w:t>
      </w:r>
      <w:r>
        <w:rPr>
          <w:rFonts w:hint="eastAsia"/>
        </w:rPr>
        <w:t>，并应以斜坡过渡。</w:t>
      </w:r>
    </w:p>
    <w:p w14:paraId="319F41B0" w14:textId="77777777" w:rsidR="00622EE7" w:rsidRDefault="00E60909">
      <w:pPr>
        <w:pStyle w:val="af8"/>
        <w:numPr>
          <w:ilvl w:val="0"/>
          <w:numId w:val="23"/>
        </w:numPr>
        <w:ind w:left="0" w:firstLine="0"/>
      </w:pPr>
      <w:r>
        <w:rPr>
          <w:rFonts w:ascii="楷体" w:eastAsia="楷体" w:hAnsi="楷体" w:hint="eastAsia"/>
        </w:rPr>
        <w:t>【品质项】</w:t>
      </w:r>
      <w:r>
        <w:rPr>
          <w:rFonts w:hint="eastAsia"/>
        </w:rPr>
        <w:t>地下车库在坡道出入口处设置升降门等冷空气隔断措施。</w:t>
      </w:r>
    </w:p>
    <w:p w14:paraId="45A7D79A" w14:textId="77777777" w:rsidR="00622EE7" w:rsidRDefault="00E60909">
      <w:pPr>
        <w:pStyle w:val="af8"/>
        <w:numPr>
          <w:ilvl w:val="0"/>
          <w:numId w:val="23"/>
        </w:numPr>
        <w:ind w:left="0" w:firstLine="0"/>
      </w:pPr>
      <w:r>
        <w:rPr>
          <w:rFonts w:ascii="楷体" w:eastAsia="楷体" w:hAnsi="楷体" w:hint="eastAsia"/>
        </w:rPr>
        <w:t>【提升项】</w:t>
      </w:r>
      <w:r>
        <w:rPr>
          <w:rFonts w:hint="eastAsia"/>
        </w:rPr>
        <w:t>地下车库坡道处的</w:t>
      </w:r>
      <w:proofErr w:type="gramStart"/>
      <w:r>
        <w:rPr>
          <w:rFonts w:hint="eastAsia"/>
        </w:rPr>
        <w:t>采光顶宜选用</w:t>
      </w:r>
      <w:proofErr w:type="gramEnd"/>
      <w:r>
        <w:rPr>
          <w:rFonts w:hint="eastAsia"/>
        </w:rPr>
        <w:t>耐用的干挂玻璃材质的顶棚；车库入口坡道宜采取融雪措施。</w:t>
      </w:r>
    </w:p>
    <w:p w14:paraId="5307008B" w14:textId="77777777" w:rsidR="00622EE7" w:rsidRDefault="00E60909">
      <w:pPr>
        <w:pStyle w:val="af8"/>
        <w:numPr>
          <w:ilvl w:val="0"/>
          <w:numId w:val="23"/>
        </w:numPr>
        <w:ind w:left="0" w:firstLine="0"/>
      </w:pPr>
      <w:r>
        <w:rPr>
          <w:rFonts w:ascii="楷体" w:eastAsia="楷体" w:hAnsi="楷体" w:hint="eastAsia"/>
        </w:rPr>
        <w:t>【提升项】</w:t>
      </w:r>
      <w:r>
        <w:rPr>
          <w:rFonts w:hint="eastAsia"/>
        </w:rPr>
        <w:t>宜对建筑地下部分进行装修设计，宜采取措施提高地下车库地面的耐磨性，有条件时可采用水磨石等耐磨、美观的地面材料类型</w:t>
      </w:r>
      <w:r>
        <w:t>。</w:t>
      </w:r>
    </w:p>
    <w:p w14:paraId="4EACA6EB" w14:textId="77777777" w:rsidR="00622EE7" w:rsidRDefault="00E60909">
      <w:pPr>
        <w:pStyle w:val="af3"/>
        <w:numPr>
          <w:ilvl w:val="0"/>
          <w:numId w:val="23"/>
        </w:numPr>
        <w:ind w:left="0" w:firstLineChars="0" w:firstLine="0"/>
        <w:contextualSpacing/>
      </w:pPr>
      <w:r>
        <w:rPr>
          <w:rFonts w:ascii="楷体" w:eastAsia="楷体" w:hAnsi="楷体" w:hint="eastAsia"/>
        </w:rPr>
        <w:t>【品质项】</w:t>
      </w:r>
      <w:r>
        <w:rPr>
          <w:rFonts w:ascii="宋体" w:hAnsi="宋体" w:hint="eastAsia"/>
        </w:rPr>
        <w:t>设计阶段应对内装修材料</w:t>
      </w:r>
      <w:proofErr w:type="gramStart"/>
      <w:r>
        <w:rPr>
          <w:rFonts w:ascii="宋体" w:hAnsi="宋体" w:hint="eastAsia"/>
        </w:rPr>
        <w:t>部品种</w:t>
      </w:r>
      <w:proofErr w:type="gramEnd"/>
      <w:r>
        <w:rPr>
          <w:rFonts w:ascii="宋体" w:hAnsi="宋体" w:hint="eastAsia"/>
        </w:rPr>
        <w:t>的各种室内有害物质进行综合评估，</w:t>
      </w:r>
      <w:r>
        <w:rPr>
          <w:rFonts w:ascii="宋体" w:hAnsi="宋体"/>
        </w:rPr>
        <w:t>氨、甲醛、苯、总挥发性有机物、氡等污染物浓度</w:t>
      </w:r>
      <w:r>
        <w:rPr>
          <w:rFonts w:ascii="宋体" w:hAnsi="宋体" w:hint="eastAsia"/>
        </w:rPr>
        <w:t>应</w:t>
      </w:r>
      <w:r>
        <w:rPr>
          <w:rFonts w:ascii="宋体" w:hAnsi="宋体"/>
        </w:rPr>
        <w:t>低于现行国家标准《室内空气质量标准</w:t>
      </w:r>
      <w:r>
        <w:t>》</w:t>
      </w:r>
      <w:r>
        <w:t>GB/T 18883</w:t>
      </w:r>
      <w:r>
        <w:rPr>
          <w:rFonts w:ascii="宋体" w:hAnsi="宋体"/>
        </w:rPr>
        <w:t>规定限值的</w:t>
      </w:r>
      <w:r>
        <w:rPr>
          <w:rFonts w:ascii="宋体" w:hAnsi="宋体"/>
        </w:rPr>
        <w:t>10%</w:t>
      </w:r>
      <w:r>
        <w:rPr>
          <w:rFonts w:ascii="宋体" w:hAnsi="宋体"/>
        </w:rPr>
        <w:t>。</w:t>
      </w:r>
    </w:p>
    <w:p w14:paraId="508C57B7" w14:textId="77777777" w:rsidR="00622EE7" w:rsidRDefault="00E60909">
      <w:pPr>
        <w:pStyle w:val="1"/>
      </w:pPr>
      <w:bookmarkStart w:id="48" w:name="_Toc182841363"/>
      <w:r>
        <w:lastRenderedPageBreak/>
        <w:t xml:space="preserve">9 </w:t>
      </w:r>
      <w:r>
        <w:rPr>
          <w:rFonts w:hint="eastAsia"/>
        </w:rPr>
        <w:t xml:space="preserve"> </w:t>
      </w:r>
      <w:r>
        <w:rPr>
          <w:rFonts w:hint="eastAsia"/>
        </w:rPr>
        <w:t>给水排水</w:t>
      </w:r>
      <w:bookmarkEnd w:id="48"/>
    </w:p>
    <w:p w14:paraId="330DF939" w14:textId="77777777" w:rsidR="00622EE7" w:rsidRDefault="00E60909">
      <w:pPr>
        <w:spacing w:beforeLines="50" w:before="163" w:afterLines="50" w:after="163" w:line="360" w:lineRule="auto"/>
        <w:jc w:val="center"/>
        <w:outlineLvl w:val="1"/>
        <w:rPr>
          <w:rFonts w:eastAsia="黑体"/>
        </w:rPr>
      </w:pPr>
      <w:bookmarkStart w:id="49" w:name="_Toc182841364"/>
      <w:r>
        <w:rPr>
          <w:rFonts w:ascii="Times New Roman" w:eastAsia="黑体" w:hAnsi="Times New Roman" w:hint="eastAsia"/>
        </w:rPr>
        <w:t>9</w:t>
      </w:r>
      <w:r>
        <w:rPr>
          <w:rFonts w:ascii="Times New Roman" w:eastAsia="黑体" w:hAnsi="Times New Roman"/>
        </w:rPr>
        <w:t xml:space="preserve">.1 </w:t>
      </w:r>
      <w:r>
        <w:rPr>
          <w:rFonts w:ascii="Times New Roman" w:eastAsia="黑体" w:hAnsi="Times New Roman" w:hint="eastAsia"/>
        </w:rPr>
        <w:t>给水</w:t>
      </w:r>
      <w:bookmarkEnd w:id="49"/>
    </w:p>
    <w:p w14:paraId="3A1ECF35"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给水排水设计应制定水资源综合利用方案，统筹利用各种水资源，并应符合下列规定：</w:t>
      </w:r>
    </w:p>
    <w:p w14:paraId="4AFFF361"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用水器具和设备应满足节水节能型产品的要求；</w:t>
      </w:r>
    </w:p>
    <w:p w14:paraId="5828A2E2"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非亲水性的室外景观水体用水水源不得采用市政自来水和地下井水；</w:t>
      </w:r>
    </w:p>
    <w:p w14:paraId="29FD9F5B"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作为项目配套的游泳池、游乐池、水上乐园、洗车场、集中空调用冷却水等用水系统应采取循环处理措施减少耗水量；</w:t>
      </w:r>
    </w:p>
    <w:p w14:paraId="01D72514"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非传统水源利用设施应与建筑物同时规划设计、同时施工、同时使用。</w:t>
      </w:r>
    </w:p>
    <w:p w14:paraId="35B61A87"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给水系统的设置应合理、完善、安全，并应符合下列规定：</w:t>
      </w:r>
    </w:p>
    <w:p w14:paraId="2624719B" w14:textId="77777777" w:rsidR="00622EE7" w:rsidRDefault="00E60909">
      <w:pPr>
        <w:pStyle w:val="af9"/>
        <w:numPr>
          <w:ilvl w:val="3"/>
          <w:numId w:val="27"/>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生活给水系统应充分利用市政供水压力，且给水水压应稳定、可靠；</w:t>
      </w:r>
    </w:p>
    <w:p w14:paraId="5F271981" w14:textId="77777777" w:rsidR="00622EE7" w:rsidRDefault="00E60909">
      <w:pPr>
        <w:pStyle w:val="af9"/>
        <w:numPr>
          <w:ilvl w:val="3"/>
          <w:numId w:val="27"/>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管材、管道附件及设备等供水设施的选取和运行不应对生活饮用水供水造成二次污染。</w:t>
      </w:r>
    </w:p>
    <w:p w14:paraId="7A0A4DAA"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住宅给水定额及小时变化系数应符合现行国家标准《建筑给水排水设计标准》</w:t>
      </w:r>
      <w:r>
        <w:rPr>
          <w:rFonts w:hint="eastAsia"/>
        </w:rPr>
        <w:t>GB 50015</w:t>
      </w:r>
      <w:r>
        <w:rPr>
          <w:rFonts w:hint="eastAsia"/>
        </w:rPr>
        <w:t>及《民用建筑节水设计标准》</w:t>
      </w:r>
      <w:r>
        <w:rPr>
          <w:rFonts w:hint="eastAsia"/>
        </w:rPr>
        <w:t xml:space="preserve">GB 50555 </w:t>
      </w:r>
      <w:r>
        <w:rPr>
          <w:rFonts w:hint="eastAsia"/>
        </w:rPr>
        <w:t>的规定。</w:t>
      </w:r>
    </w:p>
    <w:p w14:paraId="785270DC"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采用二次加压供水时，储水设施应采取下列措施满足卫生要求：</w:t>
      </w:r>
    </w:p>
    <w:p w14:paraId="0DC09CBD" w14:textId="77777777" w:rsidR="00622EE7" w:rsidRDefault="00E60909">
      <w:pPr>
        <w:pStyle w:val="af9"/>
        <w:numPr>
          <w:ilvl w:val="3"/>
          <w:numId w:val="28"/>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应采用符合国家现行有关标准要求的成品水箱应采用符合国家现行有关标准要求的成品水箱，材质宜采用</w:t>
      </w:r>
      <w:r>
        <w:rPr>
          <w:rFonts w:ascii="宋体" w:eastAsia="宋体" w:hAnsi="宋体" w:cs="宋体"/>
          <w:sz w:val="24"/>
          <w:szCs w:val="24"/>
        </w:rPr>
        <w:t>S3040</w:t>
      </w:r>
      <w:r>
        <w:rPr>
          <w:rFonts w:ascii="宋体" w:eastAsia="宋体" w:hAnsi="宋体" w:cs="宋体"/>
          <w:sz w:val="24"/>
          <w:szCs w:val="24"/>
        </w:rPr>
        <w:t>8</w:t>
      </w:r>
      <w:r>
        <w:rPr>
          <w:rFonts w:ascii="宋体" w:eastAsia="宋体" w:hAnsi="宋体" w:cs="宋体"/>
          <w:sz w:val="24"/>
          <w:szCs w:val="24"/>
        </w:rPr>
        <w:t>、</w:t>
      </w:r>
      <w:r>
        <w:rPr>
          <w:rFonts w:ascii="宋体" w:eastAsia="宋体" w:hAnsi="宋体" w:cs="宋体"/>
          <w:sz w:val="24"/>
          <w:szCs w:val="24"/>
        </w:rPr>
        <w:t>S31603</w:t>
      </w:r>
      <w:r>
        <w:rPr>
          <w:rFonts w:ascii="宋体" w:eastAsia="宋体" w:hAnsi="宋体" w:cs="宋体"/>
          <w:sz w:val="24"/>
          <w:szCs w:val="24"/>
        </w:rPr>
        <w:t>等不锈钢；</w:t>
      </w:r>
    </w:p>
    <w:p w14:paraId="3149B908" w14:textId="77777777" w:rsidR="00622EE7" w:rsidRDefault="00E60909">
      <w:pPr>
        <w:pStyle w:val="af9"/>
        <w:numPr>
          <w:ilvl w:val="3"/>
          <w:numId w:val="28"/>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sz w:val="24"/>
          <w:szCs w:val="24"/>
        </w:rPr>
        <w:t>进出水管的布置不</w:t>
      </w:r>
      <w:r>
        <w:rPr>
          <w:rFonts w:ascii="宋体" w:eastAsia="宋体" w:hAnsi="宋体" w:cs="宋体" w:hint="eastAsia"/>
          <w:sz w:val="24"/>
          <w:szCs w:val="24"/>
        </w:rPr>
        <w:t>应</w:t>
      </w:r>
      <w:r>
        <w:rPr>
          <w:rFonts w:ascii="宋体" w:eastAsia="宋体" w:hAnsi="宋体" w:cs="宋体"/>
          <w:sz w:val="24"/>
          <w:szCs w:val="24"/>
        </w:rPr>
        <w:t>产生死水区，水池、水箱</w:t>
      </w:r>
      <w:r>
        <w:rPr>
          <w:rFonts w:ascii="宋体" w:eastAsia="宋体" w:hAnsi="宋体" w:cs="宋体" w:hint="eastAsia"/>
          <w:sz w:val="24"/>
          <w:szCs w:val="24"/>
        </w:rPr>
        <w:t>应</w:t>
      </w:r>
      <w:r>
        <w:rPr>
          <w:rFonts w:ascii="宋体" w:eastAsia="宋体" w:hAnsi="宋体" w:cs="宋体"/>
          <w:sz w:val="24"/>
          <w:szCs w:val="24"/>
        </w:rPr>
        <w:t>分两格设置、可交替清洗消毒操作，不间断保障用户的用水</w:t>
      </w:r>
      <w:r>
        <w:rPr>
          <w:rFonts w:ascii="宋体" w:eastAsia="宋体" w:hAnsi="宋体" w:cs="宋体" w:hint="eastAsia"/>
          <w:sz w:val="24"/>
          <w:szCs w:val="24"/>
        </w:rPr>
        <w:t>。</w:t>
      </w:r>
    </w:p>
    <w:p w14:paraId="744C2E7C" w14:textId="77777777" w:rsidR="00622EE7" w:rsidRDefault="00E60909">
      <w:pPr>
        <w:pStyle w:val="af3"/>
        <w:numPr>
          <w:ilvl w:val="0"/>
          <w:numId w:val="25"/>
        </w:numPr>
        <w:spacing w:beforeLines="25" w:before="81"/>
        <w:ind w:left="0" w:firstLineChars="0" w:firstLine="0"/>
        <w:contextualSpacing/>
        <w:rPr>
          <w:rFonts w:ascii="宋体" w:hAnsi="宋体"/>
        </w:rPr>
      </w:pPr>
      <w:r>
        <w:rPr>
          <w:rFonts w:ascii="楷体" w:eastAsia="楷体" w:hAnsi="楷体" w:hint="eastAsia"/>
        </w:rPr>
        <w:t>【基础项】</w:t>
      </w:r>
      <w:r>
        <w:rPr>
          <w:rFonts w:ascii="宋体" w:hAnsi="宋体" w:hint="eastAsia"/>
        </w:rPr>
        <w:t>生活饮用水水箱间和给水泵房应配备视频、门禁等安全防护功能，应具有远程视频语音对讲、红外线闯入报警、泵房积水监测报警功能，电控部分应设置防干扰系统。</w:t>
      </w:r>
    </w:p>
    <w:p w14:paraId="29A04F4C"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住宅建筑单元应在公共空间设置取水点，并配置地漏。</w:t>
      </w:r>
    </w:p>
    <w:p w14:paraId="060EE104"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当给水、排水管道设在有结</w:t>
      </w:r>
      <w:proofErr w:type="gramStart"/>
      <w:r>
        <w:rPr>
          <w:rFonts w:hint="eastAsia"/>
        </w:rPr>
        <w:t>冻可能</w:t>
      </w:r>
      <w:proofErr w:type="gramEnd"/>
      <w:r>
        <w:rPr>
          <w:rFonts w:hint="eastAsia"/>
        </w:rPr>
        <w:t>的位置时，应有防冻措施，吊顶内或明装给排水管道应</w:t>
      </w:r>
      <w:proofErr w:type="gramStart"/>
      <w:r>
        <w:rPr>
          <w:rFonts w:hint="eastAsia"/>
        </w:rPr>
        <w:t>做防结露</w:t>
      </w:r>
      <w:proofErr w:type="gramEnd"/>
      <w:r>
        <w:rPr>
          <w:rFonts w:hint="eastAsia"/>
        </w:rPr>
        <w:t>保温措施。</w:t>
      </w:r>
    </w:p>
    <w:p w14:paraId="03DB1818" w14:textId="77777777" w:rsidR="00622EE7" w:rsidRDefault="00E60909">
      <w:pPr>
        <w:pStyle w:val="af3"/>
        <w:numPr>
          <w:ilvl w:val="0"/>
          <w:numId w:val="25"/>
        </w:numPr>
        <w:spacing w:beforeLines="25" w:before="81"/>
        <w:ind w:left="0" w:firstLineChars="0" w:firstLine="0"/>
        <w:contextualSpacing/>
        <w:rPr>
          <w:rFonts w:ascii="楷体" w:eastAsia="楷体" w:hAnsi="楷体"/>
        </w:rPr>
      </w:pPr>
      <w:r>
        <w:rPr>
          <w:rFonts w:ascii="楷体" w:eastAsia="楷体" w:hAnsi="楷体" w:hint="eastAsia"/>
        </w:rPr>
        <w:lastRenderedPageBreak/>
        <w:t>【基础项】</w:t>
      </w:r>
      <w:r>
        <w:rPr>
          <w:rFonts w:ascii="宋体" w:hAnsi="宋体" w:hint="eastAsia"/>
        </w:rPr>
        <w:t>公共管井的管线布置应预留足够的安装及检修空间。管井的尺寸应根据管线数量、管径大小、排列方式、维修条件，结合建筑平面和结构形式等合理确定。</w:t>
      </w:r>
    </w:p>
    <w:p w14:paraId="073808B2"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高品质住宅小区应采取下列节水、节能措施：</w:t>
      </w:r>
    </w:p>
    <w:p w14:paraId="0BB23C14"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当需二次加压供水时，应根据卫生安全、经济节能的原则选用供水方式。水泵选用应符合节能的要求，水泵运行工作点应在其高</w:t>
      </w:r>
      <w:proofErr w:type="gramStart"/>
      <w:r>
        <w:rPr>
          <w:rFonts w:ascii="宋体" w:eastAsia="宋体" w:hAnsi="宋体" w:cs="宋体" w:hint="eastAsia"/>
          <w:sz w:val="24"/>
          <w:szCs w:val="24"/>
        </w:rPr>
        <w:t>效区</w:t>
      </w:r>
      <w:proofErr w:type="gramEnd"/>
      <w:r>
        <w:rPr>
          <w:rFonts w:ascii="宋体" w:eastAsia="宋体" w:hAnsi="宋体" w:cs="宋体" w:hint="eastAsia"/>
          <w:sz w:val="24"/>
          <w:szCs w:val="24"/>
        </w:rPr>
        <w:t>内；</w:t>
      </w:r>
    </w:p>
    <w:p w14:paraId="4FB79392"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多层、高层建筑的给水、中水系统应合</w:t>
      </w:r>
      <w:proofErr w:type="gramStart"/>
      <w:r>
        <w:rPr>
          <w:rFonts w:ascii="宋体" w:eastAsia="宋体" w:hAnsi="宋体" w:cs="宋体" w:hint="eastAsia"/>
          <w:sz w:val="24"/>
          <w:szCs w:val="24"/>
        </w:rPr>
        <w:t>理确定</w:t>
      </w:r>
      <w:proofErr w:type="gramEnd"/>
      <w:r>
        <w:rPr>
          <w:rFonts w:ascii="宋体" w:eastAsia="宋体" w:hAnsi="宋体" w:cs="宋体" w:hint="eastAsia"/>
          <w:sz w:val="24"/>
          <w:szCs w:val="24"/>
        </w:rPr>
        <w:t>竖向分区，各分区静水压力不宜</w:t>
      </w:r>
      <w:r>
        <w:rPr>
          <w:rFonts w:ascii="Times New Roman" w:eastAsia="宋体" w:hAnsi="Times New Roman"/>
          <w:sz w:val="24"/>
          <w:szCs w:val="24"/>
        </w:rPr>
        <w:t>大于</w:t>
      </w:r>
      <w:r>
        <w:rPr>
          <w:rFonts w:ascii="Times New Roman" w:eastAsia="宋体" w:hAnsi="Times New Roman"/>
          <w:sz w:val="24"/>
          <w:szCs w:val="24"/>
        </w:rPr>
        <w:t>0.45MPa</w:t>
      </w:r>
      <w:r>
        <w:rPr>
          <w:rFonts w:ascii="Times New Roman" w:eastAsia="宋体" w:hAnsi="Times New Roman"/>
          <w:sz w:val="24"/>
          <w:szCs w:val="24"/>
        </w:rPr>
        <w:t>，住宅</w:t>
      </w:r>
      <w:proofErr w:type="gramStart"/>
      <w:r>
        <w:rPr>
          <w:rFonts w:ascii="Times New Roman" w:eastAsia="宋体" w:hAnsi="Times New Roman"/>
          <w:sz w:val="24"/>
          <w:szCs w:val="24"/>
        </w:rPr>
        <w:t>入户管</w:t>
      </w:r>
      <w:proofErr w:type="gramEnd"/>
      <w:r>
        <w:rPr>
          <w:rFonts w:ascii="Times New Roman" w:eastAsia="宋体" w:hAnsi="Times New Roman"/>
          <w:sz w:val="24"/>
          <w:szCs w:val="24"/>
        </w:rPr>
        <w:t>供水压力不应大于</w:t>
      </w:r>
      <w:r>
        <w:rPr>
          <w:rFonts w:ascii="Times New Roman" w:eastAsia="宋体" w:hAnsi="Times New Roman"/>
          <w:sz w:val="24"/>
          <w:szCs w:val="24"/>
        </w:rPr>
        <w:t>0.35MPa</w:t>
      </w:r>
      <w:r>
        <w:rPr>
          <w:rFonts w:ascii="Times New Roman" w:eastAsia="宋体" w:hAnsi="Times New Roman"/>
          <w:sz w:val="24"/>
          <w:szCs w:val="24"/>
        </w:rPr>
        <w:t>；</w:t>
      </w:r>
    </w:p>
    <w:p w14:paraId="50A52CBE"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二次供水系统应根据项目的具体条件选型，优先采用管网叠压供水、水箱水泵供水、变频供水等节能的供水技术；</w:t>
      </w:r>
    </w:p>
    <w:p w14:paraId="6BB253A8"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生活给水系统应采取减压限流的节水措施，用水点处供水压力不宜大于</w:t>
      </w:r>
      <w:r>
        <w:rPr>
          <w:rFonts w:ascii="Times New Roman" w:eastAsia="宋体" w:hAnsi="Times New Roman"/>
          <w:sz w:val="24"/>
          <w:szCs w:val="24"/>
        </w:rPr>
        <w:t>0.20MPa</w:t>
      </w:r>
      <w:r>
        <w:rPr>
          <w:rFonts w:ascii="Times New Roman" w:eastAsia="宋体" w:hAnsi="Times New Roman" w:hint="eastAsia"/>
          <w:sz w:val="24"/>
          <w:szCs w:val="24"/>
        </w:rPr>
        <w:t>且不应小于</w:t>
      </w:r>
      <w:r>
        <w:rPr>
          <w:rFonts w:ascii="Times New Roman" w:eastAsia="宋体" w:hAnsi="Times New Roman" w:hint="eastAsia"/>
          <w:sz w:val="24"/>
          <w:szCs w:val="24"/>
        </w:rPr>
        <w:t>0.1MPa</w:t>
      </w:r>
      <w:r>
        <w:rPr>
          <w:rFonts w:ascii="宋体" w:eastAsia="宋体" w:hAnsi="宋体" w:cs="宋体" w:hint="eastAsia"/>
          <w:sz w:val="24"/>
          <w:szCs w:val="24"/>
        </w:rPr>
        <w:t>，并应满足卫生器具工作压力的要求。</w:t>
      </w:r>
    </w:p>
    <w:p w14:paraId="33403DAE"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卫生器具和配件应采用节水型产品，用水效率等级应不低于</w:t>
      </w:r>
      <w:r>
        <w:rPr>
          <w:rFonts w:hint="eastAsia"/>
        </w:rPr>
        <w:t>2</w:t>
      </w:r>
      <w:r>
        <w:rPr>
          <w:rFonts w:hint="eastAsia"/>
        </w:rPr>
        <w:t>级，且应符合国家现行标准《节水型生活用水器具》</w:t>
      </w:r>
      <w:r>
        <w:rPr>
          <w:rFonts w:hint="eastAsia"/>
        </w:rPr>
        <w:t>CJ/T 164</w:t>
      </w:r>
      <w:r>
        <w:rPr>
          <w:rFonts w:hint="eastAsia"/>
        </w:rPr>
        <w:t>、《节水型产品通用技术条件》</w:t>
      </w:r>
      <w:r>
        <w:rPr>
          <w:rFonts w:hint="eastAsia"/>
        </w:rPr>
        <w:t xml:space="preserve">GB/T 18870 </w:t>
      </w:r>
      <w:r>
        <w:rPr>
          <w:rFonts w:hint="eastAsia"/>
        </w:rPr>
        <w:t>的规定。</w:t>
      </w:r>
    </w:p>
    <w:p w14:paraId="428B1A8C"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给水管道应采用钢塑复合管、给水不锈钢管或给水铜管或符合饮用水卫生标准的其他管材，</w:t>
      </w:r>
      <w:r>
        <w:rPr>
          <w:rFonts w:hint="eastAsia"/>
        </w:rPr>
        <w:t>阀门及配件应采用不易锈蚀、无毒、无污染的材质。</w:t>
      </w:r>
    </w:p>
    <w:p w14:paraId="6D863AA2"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所有给水排水管道、设备、设施应设置明确、清晰的永久性标识，并应符合下列规定：</w:t>
      </w:r>
    </w:p>
    <w:p w14:paraId="51844785" w14:textId="77777777" w:rsidR="00622EE7" w:rsidRDefault="00E60909">
      <w:pPr>
        <w:pStyle w:val="af9"/>
        <w:numPr>
          <w:ilvl w:val="3"/>
          <w:numId w:val="30"/>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应在管井、地下室、检查井等明露管道、检修节点设置管道标识，标识系统由名称、流向等组成；</w:t>
      </w:r>
    </w:p>
    <w:p w14:paraId="5AB89E18" w14:textId="77777777" w:rsidR="00622EE7" w:rsidRDefault="00E60909">
      <w:pPr>
        <w:pStyle w:val="af9"/>
        <w:numPr>
          <w:ilvl w:val="3"/>
          <w:numId w:val="30"/>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设置的标识字体、大小、颜色应方便辨识，且标识的材质应符合耐久性要求。</w:t>
      </w:r>
    </w:p>
    <w:p w14:paraId="7795E452"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【提升项】</w:t>
      </w:r>
      <w:r>
        <w:rPr>
          <w:rFonts w:hint="eastAsia"/>
        </w:rPr>
        <w:t>各卫生间内部的给水、热水系统</w:t>
      </w:r>
      <w:proofErr w:type="gramStart"/>
      <w:r>
        <w:rPr>
          <w:rFonts w:hint="eastAsia"/>
        </w:rPr>
        <w:t>宜设置</w:t>
      </w:r>
      <w:proofErr w:type="gramEnd"/>
      <w:r>
        <w:rPr>
          <w:rFonts w:hint="eastAsia"/>
        </w:rPr>
        <w:t>分水器。</w:t>
      </w:r>
    </w:p>
    <w:p w14:paraId="4C650351" w14:textId="77777777" w:rsidR="00622EE7" w:rsidRDefault="00E60909">
      <w:pPr>
        <w:pStyle w:val="af3"/>
        <w:numPr>
          <w:ilvl w:val="0"/>
          <w:numId w:val="25"/>
        </w:numPr>
        <w:spacing w:beforeLines="25" w:before="81"/>
        <w:ind w:left="0" w:firstLineChars="0" w:firstLine="0"/>
        <w:contextualSpacing/>
        <w:rPr>
          <w:rFonts w:ascii="楷体" w:eastAsia="楷体" w:hAnsi="楷体"/>
          <w:szCs w:val="24"/>
        </w:rPr>
      </w:pPr>
      <w:r>
        <w:rPr>
          <w:rFonts w:ascii="楷体" w:eastAsia="楷体" w:hAnsi="楷体" w:hint="eastAsia"/>
        </w:rPr>
        <w:t>【品质项】</w:t>
      </w:r>
      <w:r>
        <w:rPr>
          <w:rFonts w:hint="eastAsia"/>
        </w:rPr>
        <w:t>应预留前置过滤器、</w:t>
      </w:r>
      <w:r>
        <w:t>终端直饮水处理设备</w:t>
      </w:r>
      <w:r>
        <w:rPr>
          <w:rFonts w:hint="eastAsia"/>
        </w:rPr>
        <w:t>所需电源及给排水条件，并预留软化水设备安装条件。</w:t>
      </w:r>
    </w:p>
    <w:p w14:paraId="5A3D190F"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【提升项】</w:t>
      </w:r>
      <w:r>
        <w:rPr>
          <w:rFonts w:hint="eastAsia"/>
        </w:rPr>
        <w:t>宜采用管道直饮水供水系统，提升饮用水品质。</w:t>
      </w:r>
    </w:p>
    <w:p w14:paraId="74F73E18"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应采</w:t>
      </w:r>
      <w:r>
        <w:rPr>
          <w:rFonts w:hint="eastAsia"/>
        </w:rPr>
        <w:t>用水远传计量系统，实现信号采集、数据处理、存储及数</w:t>
      </w:r>
      <w:r>
        <w:rPr>
          <w:rFonts w:hint="eastAsia"/>
        </w:rPr>
        <w:lastRenderedPageBreak/>
        <w:t>据上传功能，实时将用水量数据上传给管理系统。</w:t>
      </w:r>
    </w:p>
    <w:p w14:paraId="4C162344"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【提升项】</w:t>
      </w:r>
      <w:r>
        <w:rPr>
          <w:rFonts w:hint="eastAsia"/>
        </w:rPr>
        <w:t>建筑中各供水系统均</w:t>
      </w:r>
      <w:proofErr w:type="gramStart"/>
      <w:r>
        <w:rPr>
          <w:rFonts w:hint="eastAsia"/>
        </w:rPr>
        <w:t>宜设置</w:t>
      </w:r>
      <w:proofErr w:type="gramEnd"/>
      <w:r>
        <w:rPr>
          <w:rFonts w:hint="eastAsia"/>
        </w:rPr>
        <w:t>水质在线监测系统。二次供水、消防供水等</w:t>
      </w:r>
      <w:proofErr w:type="gramStart"/>
      <w:r>
        <w:rPr>
          <w:rFonts w:hint="eastAsia"/>
        </w:rPr>
        <w:t>宜设置</w:t>
      </w:r>
      <w:proofErr w:type="gramEnd"/>
      <w:r>
        <w:rPr>
          <w:rFonts w:hint="eastAsia"/>
        </w:rPr>
        <w:t>智慧互联及远程监测、监控等功能。</w:t>
      </w:r>
    </w:p>
    <w:p w14:paraId="0853CDFC" w14:textId="77777777" w:rsidR="00622EE7" w:rsidRDefault="00E60909">
      <w:pPr>
        <w:pStyle w:val="af3"/>
        <w:numPr>
          <w:ilvl w:val="0"/>
          <w:numId w:val="25"/>
        </w:numPr>
        <w:spacing w:beforeLines="25" w:before="81"/>
        <w:ind w:left="0" w:firstLineChars="0" w:firstLine="0"/>
        <w:contextualSpacing/>
        <w:rPr>
          <w:rFonts w:ascii="宋体" w:hAnsi="宋体" w:cs="宋体"/>
          <w:szCs w:val="24"/>
        </w:rPr>
      </w:pPr>
      <w:r>
        <w:rPr>
          <w:rFonts w:ascii="楷体" w:eastAsia="楷体" w:hAnsi="楷体" w:hint="eastAsia"/>
        </w:rPr>
        <w:t>【品质项】</w:t>
      </w:r>
      <w:r>
        <w:rPr>
          <w:rFonts w:hint="eastAsia"/>
        </w:rPr>
        <w:t>合理使用非传统水源如中水、雨水，用于绿化灌溉、车库及道路冲洗、洗车等。采用非传统水源时，</w:t>
      </w:r>
      <w:r>
        <w:rPr>
          <w:rFonts w:ascii="宋体" w:hAnsi="宋体" w:cs="宋体" w:hint="eastAsia"/>
          <w:szCs w:val="24"/>
        </w:rPr>
        <w:t>不得对人体健康及周围环境产生不良影响，</w:t>
      </w:r>
      <w:r>
        <w:rPr>
          <w:rFonts w:hint="eastAsia"/>
        </w:rPr>
        <w:t>其供水系统必须采取下列安全措施：</w:t>
      </w:r>
    </w:p>
    <w:p w14:paraId="1211EDB4" w14:textId="77777777" w:rsidR="00622EE7" w:rsidRDefault="00E60909">
      <w:pPr>
        <w:pStyle w:val="af9"/>
        <w:numPr>
          <w:ilvl w:val="3"/>
          <w:numId w:val="31"/>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非传统水源管道严禁与饮用水管道系统、自备水源供水系统连接；</w:t>
      </w:r>
    </w:p>
    <w:p w14:paraId="54D8CBDC" w14:textId="77777777" w:rsidR="00622EE7" w:rsidRDefault="00E60909">
      <w:pPr>
        <w:pStyle w:val="af9"/>
        <w:numPr>
          <w:ilvl w:val="3"/>
          <w:numId w:val="31"/>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非传统水源管道和设备应设置明确、清晰的永久性标识防止误接、误用、误饮；</w:t>
      </w:r>
    </w:p>
    <w:p w14:paraId="1C119CFA" w14:textId="77777777" w:rsidR="00622EE7" w:rsidRDefault="00E60909">
      <w:pPr>
        <w:pStyle w:val="af9"/>
        <w:numPr>
          <w:ilvl w:val="3"/>
          <w:numId w:val="31"/>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中水用于绿化灌溉时，不应采用喷灌方式。</w:t>
      </w:r>
    </w:p>
    <w:p w14:paraId="6ABFE56E"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绿化喷洒应采用喷灌、微灌等节水灌溉方式；车库和道路冲洗应采用节水高压水枪。</w:t>
      </w:r>
    </w:p>
    <w:p w14:paraId="5ED19928" w14:textId="77777777" w:rsidR="00622EE7" w:rsidRDefault="00E60909">
      <w:pPr>
        <w:pStyle w:val="af3"/>
        <w:numPr>
          <w:ilvl w:val="0"/>
          <w:numId w:val="25"/>
        </w:numPr>
        <w:spacing w:beforeLines="25" w:before="81"/>
        <w:ind w:left="0" w:firstLineChars="0" w:firstLine="0"/>
        <w:contextualSpacing/>
      </w:pPr>
      <w:r>
        <w:rPr>
          <w:rFonts w:eastAsia="楷体"/>
        </w:rPr>
        <w:t>【基础项】</w:t>
      </w:r>
      <w:r>
        <w:t>室外给水管道应沿区内道路敷设。管道外壁距建筑物外墙的净距不宜小于</w:t>
      </w:r>
      <w:r>
        <w:t>1m</w:t>
      </w:r>
      <w:r>
        <w:t>，且不得影响建筑物的基础。与其他地下管线及乔木之间的最小净距，应符合现行国家标准《建筑给水排水设计标准》</w:t>
      </w:r>
      <w:r>
        <w:t>GB 50015</w:t>
      </w:r>
      <w:r>
        <w:t>的规定。</w:t>
      </w:r>
    </w:p>
    <w:p w14:paraId="29ED7876" w14:textId="77777777" w:rsidR="00622EE7" w:rsidRDefault="00E60909">
      <w:pPr>
        <w:pStyle w:val="af3"/>
        <w:numPr>
          <w:ilvl w:val="0"/>
          <w:numId w:val="25"/>
        </w:numPr>
        <w:spacing w:beforeLines="25" w:before="81"/>
        <w:ind w:left="0" w:firstLineChars="0" w:firstLine="0"/>
        <w:contextualSpacing/>
        <w:rPr>
          <w:rFonts w:ascii="楷体" w:eastAsia="楷体" w:hAnsi="楷体"/>
        </w:rPr>
      </w:pPr>
      <w:r>
        <w:rPr>
          <w:rFonts w:ascii="楷体" w:eastAsia="楷体" w:hAnsi="楷体" w:hint="eastAsia"/>
        </w:rPr>
        <w:t>【基础项】</w:t>
      </w:r>
      <w:r>
        <w:rPr>
          <w:rFonts w:ascii="宋体" w:hAnsi="宋体" w:hint="eastAsia"/>
        </w:rPr>
        <w:t>室外给水管道的覆土深度，应根据土壤冰冻深度、车辆荷载、管道材质及管道交叉等因素确定。</w:t>
      </w:r>
    </w:p>
    <w:p w14:paraId="1633140C" w14:textId="77777777" w:rsidR="00622EE7" w:rsidRDefault="00E60909">
      <w:pPr>
        <w:spacing w:beforeLines="50" w:before="163" w:afterLines="50" w:after="163" w:line="360" w:lineRule="auto"/>
        <w:jc w:val="center"/>
        <w:outlineLvl w:val="1"/>
        <w:rPr>
          <w:rFonts w:ascii="Times New Roman" w:eastAsia="黑体" w:hAnsi="Times New Roman"/>
        </w:rPr>
      </w:pPr>
      <w:bookmarkStart w:id="50" w:name="_Toc182841365"/>
      <w:r>
        <w:rPr>
          <w:rFonts w:ascii="Times New Roman" w:eastAsia="黑体" w:hAnsi="Times New Roman" w:hint="eastAsia"/>
        </w:rPr>
        <w:t>9</w:t>
      </w:r>
      <w:r>
        <w:rPr>
          <w:rFonts w:ascii="Times New Roman" w:eastAsia="黑体" w:hAnsi="Times New Roman"/>
        </w:rPr>
        <w:t xml:space="preserve">.2 </w:t>
      </w:r>
      <w:r>
        <w:rPr>
          <w:rFonts w:ascii="Times New Roman" w:eastAsia="黑体" w:hAnsi="Times New Roman" w:hint="eastAsia"/>
        </w:rPr>
        <w:t>热水</w:t>
      </w:r>
      <w:bookmarkEnd w:id="50"/>
    </w:p>
    <w:p w14:paraId="4094C748" w14:textId="77777777" w:rsidR="00622EE7" w:rsidRDefault="00E60909">
      <w:pPr>
        <w:pStyle w:val="af3"/>
        <w:numPr>
          <w:ilvl w:val="0"/>
          <w:numId w:val="32"/>
        </w:numPr>
        <w:spacing w:beforeLines="25" w:before="81"/>
        <w:ind w:left="0" w:firstLineChars="0" w:firstLine="0"/>
        <w:contextualSpacing/>
        <w:rPr>
          <w:rFonts w:ascii="楷体" w:eastAsia="楷体" w:hAnsi="楷体"/>
        </w:rPr>
      </w:pPr>
      <w:r>
        <w:rPr>
          <w:rFonts w:ascii="楷体" w:eastAsia="楷体" w:hAnsi="楷体" w:hint="eastAsia"/>
        </w:rPr>
        <w:t>【基础项】</w:t>
      </w:r>
      <w:r>
        <w:rPr>
          <w:rFonts w:ascii="宋体" w:hAnsi="宋体" w:hint="eastAsia"/>
        </w:rPr>
        <w:t>热水系统应优先采用余热、废热或可再生能源作为热源，并合理配置辅助热源。</w:t>
      </w:r>
    </w:p>
    <w:p w14:paraId="26ADF478" w14:textId="77777777" w:rsidR="00622EE7" w:rsidRDefault="00E60909">
      <w:pPr>
        <w:pStyle w:val="af3"/>
        <w:numPr>
          <w:ilvl w:val="0"/>
          <w:numId w:val="32"/>
        </w:numPr>
        <w:spacing w:beforeLines="25" w:before="81"/>
        <w:ind w:left="0" w:firstLineChars="0" w:firstLine="0"/>
        <w:contextualSpacing/>
      </w:pPr>
      <w:r>
        <w:rPr>
          <w:rFonts w:ascii="楷体" w:eastAsia="楷体" w:hAnsi="楷体" w:hint="eastAsia"/>
        </w:rPr>
        <w:t>【提升项】</w:t>
      </w:r>
      <w:r>
        <w:rPr>
          <w:rFonts w:hint="eastAsia"/>
        </w:rPr>
        <w:t>热水配水点可达到出水温度不低于</w:t>
      </w:r>
      <w:r>
        <w:rPr>
          <w:rFonts w:hint="eastAsia"/>
        </w:rPr>
        <w:t>46</w:t>
      </w:r>
      <w:r>
        <w:t>℃</w:t>
      </w:r>
      <w:r>
        <w:rPr>
          <w:rFonts w:hint="eastAsia"/>
        </w:rPr>
        <w:t>的时间宜≤</w:t>
      </w:r>
      <w:r>
        <w:rPr>
          <w:rFonts w:hint="eastAsia"/>
        </w:rPr>
        <w:t>15s</w:t>
      </w:r>
      <w:r>
        <w:rPr>
          <w:rFonts w:hint="eastAsia"/>
        </w:rPr>
        <w:t>，或户内热水器不循环的热水供水支管长度宜≤</w:t>
      </w:r>
      <w:r>
        <w:rPr>
          <w:rFonts w:hint="eastAsia"/>
        </w:rPr>
        <w:t>8m</w:t>
      </w:r>
      <w:r>
        <w:rPr>
          <w:rFonts w:hint="eastAsia"/>
        </w:rPr>
        <w:t>。</w:t>
      </w:r>
    </w:p>
    <w:p w14:paraId="7A8854DD" w14:textId="77777777" w:rsidR="00622EE7" w:rsidRDefault="00E60909">
      <w:pPr>
        <w:pStyle w:val="af3"/>
        <w:numPr>
          <w:ilvl w:val="0"/>
          <w:numId w:val="32"/>
        </w:numPr>
        <w:spacing w:beforeLines="25" w:before="81"/>
        <w:ind w:left="0" w:firstLineChars="0" w:firstLine="0"/>
        <w:contextualSpacing/>
      </w:pPr>
      <w:r>
        <w:rPr>
          <w:rFonts w:ascii="楷体" w:eastAsia="楷体" w:hAnsi="楷体" w:hint="eastAsia"/>
        </w:rPr>
        <w:t>【基础项】</w:t>
      </w:r>
      <w:r>
        <w:rPr>
          <w:rFonts w:hint="eastAsia"/>
        </w:rPr>
        <w:t>生活热水供回水管、贮热水箱（罐）等均应保温。</w:t>
      </w:r>
    </w:p>
    <w:p w14:paraId="5B2CA81B" w14:textId="77777777" w:rsidR="00622EE7" w:rsidRDefault="00E60909">
      <w:pPr>
        <w:pStyle w:val="af3"/>
        <w:numPr>
          <w:ilvl w:val="0"/>
          <w:numId w:val="32"/>
        </w:numPr>
        <w:spacing w:beforeLines="25" w:before="81"/>
        <w:ind w:left="0" w:firstLineChars="0" w:firstLine="0"/>
        <w:contextualSpacing/>
      </w:pPr>
      <w:r>
        <w:rPr>
          <w:rFonts w:ascii="楷体" w:eastAsia="楷体" w:hAnsi="楷体" w:hint="eastAsia"/>
        </w:rPr>
        <w:t>【创新项】</w:t>
      </w:r>
      <w:proofErr w:type="gramStart"/>
      <w:r>
        <w:rPr>
          <w:rFonts w:hint="eastAsia"/>
        </w:rPr>
        <w:t>采用户式燃气</w:t>
      </w:r>
      <w:proofErr w:type="gramEnd"/>
      <w:r>
        <w:rPr>
          <w:rFonts w:hint="eastAsia"/>
        </w:rPr>
        <w:t>炉或家用燃气热水器作为生活热水热源或太阳能辅助热源时，其热效率不应低于现行国家标准《家用燃气快速热水器和燃气采暖热水炉能效限定值及能效等级》</w:t>
      </w:r>
      <w:r>
        <w:rPr>
          <w:rFonts w:hint="eastAsia"/>
        </w:rPr>
        <w:t xml:space="preserve">GB 20665 </w:t>
      </w:r>
      <w:r>
        <w:rPr>
          <w:rFonts w:hint="eastAsia"/>
        </w:rPr>
        <w:t>中规定的</w:t>
      </w:r>
      <w:r>
        <w:rPr>
          <w:rFonts w:hint="eastAsia"/>
        </w:rPr>
        <w:t>1</w:t>
      </w:r>
      <w:r>
        <w:rPr>
          <w:rFonts w:hint="eastAsia"/>
        </w:rPr>
        <w:t>级能效要求，且宜采用零冷水燃气热水器，同时需预留冷凝水排水条件、烟道排放条件。</w:t>
      </w:r>
    </w:p>
    <w:p w14:paraId="5B39FD88" w14:textId="77777777" w:rsidR="00622EE7" w:rsidRDefault="00E60909">
      <w:pPr>
        <w:spacing w:beforeLines="50" w:before="163" w:afterLines="50" w:after="163" w:line="360" w:lineRule="auto"/>
        <w:jc w:val="center"/>
        <w:outlineLvl w:val="1"/>
        <w:rPr>
          <w:rFonts w:ascii="Times New Roman" w:eastAsia="黑体" w:hAnsi="Times New Roman"/>
        </w:rPr>
      </w:pPr>
      <w:bookmarkStart w:id="51" w:name="_Toc182841366"/>
      <w:r>
        <w:rPr>
          <w:rFonts w:ascii="Times New Roman" w:eastAsia="黑体" w:hAnsi="Times New Roman" w:hint="eastAsia"/>
        </w:rPr>
        <w:lastRenderedPageBreak/>
        <w:t>9</w:t>
      </w:r>
      <w:r>
        <w:rPr>
          <w:rFonts w:ascii="Times New Roman" w:eastAsia="黑体" w:hAnsi="Times New Roman"/>
        </w:rPr>
        <w:t xml:space="preserve">.3 </w:t>
      </w:r>
      <w:r>
        <w:rPr>
          <w:rFonts w:ascii="Times New Roman" w:eastAsia="黑体" w:hAnsi="Times New Roman" w:hint="eastAsia"/>
        </w:rPr>
        <w:t>排水</w:t>
      </w:r>
      <w:bookmarkEnd w:id="51"/>
    </w:p>
    <w:p w14:paraId="5AC02F8F"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【品质项】</w:t>
      </w:r>
      <w:r>
        <w:rPr>
          <w:rFonts w:hint="eastAsia"/>
        </w:rPr>
        <w:t>公共管井内应设置排水设施。</w:t>
      </w:r>
    </w:p>
    <w:p w14:paraId="19ED6308" w14:textId="77777777" w:rsidR="00622EE7" w:rsidRDefault="00E60909">
      <w:pPr>
        <w:pStyle w:val="af3"/>
        <w:numPr>
          <w:ilvl w:val="0"/>
          <w:numId w:val="33"/>
        </w:numPr>
        <w:ind w:left="0" w:firstLineChars="0" w:firstLine="0"/>
        <w:contextualSpacing/>
      </w:pPr>
      <w:r>
        <w:rPr>
          <w:rFonts w:ascii="楷体" w:eastAsia="楷体" w:hAnsi="楷体" w:hint="eastAsia"/>
        </w:rPr>
        <w:t>【提升项】</w:t>
      </w:r>
      <w:r>
        <w:t>室内污、废水立管优先采用柔性接口机制排水铸铁管或螺旋静音塑料排水管等</w:t>
      </w:r>
      <w:r>
        <w:rPr>
          <w:rFonts w:hint="eastAsia"/>
        </w:rPr>
        <w:t>低噪音</w:t>
      </w:r>
      <w:r>
        <w:t>管材</w:t>
      </w:r>
      <w:r>
        <w:rPr>
          <w:rFonts w:hint="eastAsia"/>
        </w:rPr>
        <w:t>。</w:t>
      </w:r>
    </w:p>
    <w:p w14:paraId="42FCFAD4"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【提升项】</w:t>
      </w:r>
      <w:r>
        <w:t>住宅屋面雨水</w:t>
      </w:r>
      <w:r>
        <w:rPr>
          <w:rFonts w:hint="eastAsia"/>
        </w:rPr>
        <w:t>采用内排水时，排水管道采用</w:t>
      </w:r>
      <w:r>
        <w:t>热浸</w:t>
      </w:r>
      <w:r>
        <w:t>镀锌钢管、高密度聚乙烯</w:t>
      </w:r>
      <w:r>
        <w:t>HDPE</w:t>
      </w:r>
      <w:r>
        <w:t>管</w:t>
      </w:r>
      <w:r>
        <w:rPr>
          <w:rFonts w:hint="eastAsia"/>
        </w:rPr>
        <w:t>；当采用外排水时，采用</w:t>
      </w:r>
      <w:r>
        <w:t>热浸镀锌钢</w:t>
      </w:r>
      <w:r>
        <w:rPr>
          <w:rFonts w:hint="eastAsia"/>
        </w:rPr>
        <w:t>等耐候</w:t>
      </w:r>
      <w:r>
        <w:t>性</w:t>
      </w:r>
      <w:r>
        <w:rPr>
          <w:rFonts w:hint="eastAsia"/>
        </w:rPr>
        <w:t>、抗冻性较好</w:t>
      </w:r>
      <w:r>
        <w:t>的管材</w:t>
      </w:r>
      <w:r>
        <w:rPr>
          <w:rFonts w:hint="eastAsia"/>
        </w:rPr>
        <w:t>，</w:t>
      </w:r>
      <w:r>
        <w:t>高层住宅屋面雨水管还应选用承压性较好的管材</w:t>
      </w:r>
      <w:r>
        <w:rPr>
          <w:rFonts w:hint="eastAsia"/>
        </w:rPr>
        <w:t>。</w:t>
      </w:r>
    </w:p>
    <w:p w14:paraId="7E2F7772"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proofErr w:type="gramStart"/>
      <w:r>
        <w:rPr>
          <w:rFonts w:hint="eastAsia"/>
        </w:rPr>
        <w:t>污</w:t>
      </w:r>
      <w:proofErr w:type="gramEnd"/>
      <w:r>
        <w:rPr>
          <w:rFonts w:hint="eastAsia"/>
        </w:rPr>
        <w:t>废水排水立管的检查口应每层设置。</w:t>
      </w:r>
    </w:p>
    <w:p w14:paraId="7E0647D9"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t>应使用构造内自带水封的便器，且其水封深度不应小于</w:t>
      </w:r>
      <w:r>
        <w:t>50mm</w:t>
      </w:r>
      <w:r>
        <w:t>。</w:t>
      </w:r>
    </w:p>
    <w:p w14:paraId="51FF3E5A"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hint="eastAsia"/>
        </w:rPr>
        <w:t>坐便器应靠近排水立管布置，且宜避免与卧室相邻。</w:t>
      </w:r>
    </w:p>
    <w:p w14:paraId="4807D989"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【提升项】</w:t>
      </w:r>
      <w:r>
        <w:rPr>
          <w:rFonts w:hint="eastAsia"/>
        </w:rPr>
        <w:t>卫生间不宜设置仅用于地面排水的地漏。当设置地漏时，应选用多通道地漏或排水汇集器等共用存水弯的排水配件。</w:t>
      </w:r>
    </w:p>
    <w:p w14:paraId="70314A9D"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【创新项】</w:t>
      </w:r>
      <w:r>
        <w:rPr>
          <w:rFonts w:hint="eastAsia"/>
        </w:rPr>
        <w:t>洗菜池排水口处</w:t>
      </w:r>
      <w:proofErr w:type="gramStart"/>
      <w:r>
        <w:rPr>
          <w:rFonts w:hint="eastAsia"/>
        </w:rPr>
        <w:t>宜设置厨余</w:t>
      </w:r>
      <w:proofErr w:type="gramEnd"/>
      <w:r>
        <w:rPr>
          <w:rFonts w:hint="eastAsia"/>
        </w:rPr>
        <w:t>垃圾处理系统。</w:t>
      </w:r>
    </w:p>
    <w:p w14:paraId="2E084DD1" w14:textId="77777777" w:rsidR="00622EE7" w:rsidRDefault="00E60909">
      <w:pPr>
        <w:pStyle w:val="af3"/>
        <w:numPr>
          <w:ilvl w:val="0"/>
          <w:numId w:val="33"/>
        </w:numPr>
        <w:spacing w:beforeLines="25" w:before="81"/>
        <w:ind w:left="0" w:firstLineChars="0" w:firstLine="0"/>
        <w:contextualSpacing/>
        <w:rPr>
          <w:rFonts w:ascii="楷体" w:eastAsia="楷体" w:hAnsi="楷体"/>
        </w:rPr>
      </w:pPr>
      <w:r>
        <w:rPr>
          <w:rFonts w:ascii="楷体" w:eastAsia="楷体" w:hAnsi="楷体" w:hint="eastAsia"/>
        </w:rPr>
        <w:t>【品质项】</w:t>
      </w:r>
      <w:r>
        <w:rPr>
          <w:rFonts w:ascii="宋体" w:hAnsi="宋体"/>
        </w:rPr>
        <w:t>地下汽车库合理设置地面冲洗给水系统，并配备排水措施</w:t>
      </w:r>
      <w:r>
        <w:rPr>
          <w:rFonts w:ascii="宋体" w:hAnsi="宋体" w:hint="eastAsia"/>
        </w:rPr>
        <w:t>。</w:t>
      </w:r>
    </w:p>
    <w:p w14:paraId="0F9E0A3E"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【品质项】</w:t>
      </w:r>
      <w:r>
        <w:rPr>
          <w:rFonts w:hint="eastAsia"/>
        </w:rPr>
        <w:t>化粪池的位置应避开建筑、小区主要出入口和人员聚集场所。</w:t>
      </w:r>
    </w:p>
    <w:p w14:paraId="3CFBB2A8"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hint="eastAsia"/>
        </w:rPr>
        <w:t>室外排水管道应布置合理、减少交叉，</w:t>
      </w:r>
      <w:r>
        <w:t>检查井间的管段应为直线</w:t>
      </w:r>
      <w:r>
        <w:rPr>
          <w:rFonts w:hint="eastAsia"/>
        </w:rPr>
        <w:t>，生活污水排水干管应靠近主要排水建筑并布置在连接支管较多的一侧，雨水干管、排水管道的布置应与小区道路协同设计。</w:t>
      </w:r>
    </w:p>
    <w:p w14:paraId="1F01B179" w14:textId="77777777" w:rsidR="00622EE7" w:rsidRDefault="00E60909">
      <w:pPr>
        <w:pStyle w:val="af3"/>
        <w:numPr>
          <w:ilvl w:val="0"/>
          <w:numId w:val="33"/>
        </w:numPr>
        <w:spacing w:beforeLines="25" w:before="81"/>
        <w:ind w:left="0" w:firstLineChars="0" w:firstLine="0"/>
        <w:contextualSpacing/>
        <w:rPr>
          <w:rFonts w:eastAsia="楷体"/>
        </w:rPr>
      </w:pPr>
      <w:r>
        <w:rPr>
          <w:rFonts w:ascii="楷体" w:eastAsia="楷体" w:hAnsi="楷体" w:hint="eastAsia"/>
        </w:rPr>
        <w:t>【基础项】</w:t>
      </w:r>
      <w:r>
        <w:rPr>
          <w:rFonts w:hint="eastAsia"/>
        </w:rPr>
        <w:t>室外排水管道最小埋地敷设深度应根据道路的行车等级、管材受压强度、地基承载力等因素经计算确定。</w:t>
      </w:r>
    </w:p>
    <w:p w14:paraId="1F022BA7"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ascii="宋体" w:hAnsi="宋体" w:cs="宋体" w:hint="eastAsia"/>
        </w:rPr>
        <w:t>室外</w:t>
      </w:r>
      <w:r>
        <w:rPr>
          <w:rFonts w:hint="eastAsia"/>
        </w:rPr>
        <w:t>排水管道的交汇处、转弯处、管径和坡度改变处、跌水处和需要日常维修处，应设检查井。排水直管段上检查井的最大间距应</w:t>
      </w:r>
      <w:r>
        <w:rPr>
          <w:rFonts w:ascii="宋体" w:hAnsi="宋体" w:cs="宋体" w:hint="eastAsia"/>
        </w:rPr>
        <w:t>符合现行国家标准《建筑给水排水设计标准》</w:t>
      </w:r>
      <w:r>
        <w:t>GB 50015</w:t>
      </w:r>
      <w:r>
        <w:rPr>
          <w:rFonts w:ascii="宋体" w:hAnsi="宋体" w:cs="宋体" w:hint="eastAsia"/>
        </w:rPr>
        <w:t>的规定。检查井井盖还应与周围环境相协调，避免影响小区的整体美观。</w:t>
      </w:r>
    </w:p>
    <w:p w14:paraId="31515E17"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hint="eastAsia"/>
        </w:rPr>
        <w:t>雨水控制与利用工程应根据项目的具体情况、</w:t>
      </w:r>
      <w:r>
        <w:rPr>
          <w:rFonts w:hint="eastAsia"/>
        </w:rPr>
        <w:t>当地的水资源状况和经济发展水平，合理采用渗、滞、蓄、净、用、排等技术措施。</w:t>
      </w:r>
    </w:p>
    <w:p w14:paraId="19936995"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【品质项】</w:t>
      </w:r>
      <w:r>
        <w:rPr>
          <w:rFonts w:hint="eastAsia"/>
        </w:rPr>
        <w:t>应与建筑和景观专业协同，</w:t>
      </w:r>
      <w:r>
        <w:t>衔接和引导不少于</w:t>
      </w:r>
      <w:r>
        <w:t>80%</w:t>
      </w:r>
      <w:r>
        <w:t>的屋面雨水</w:t>
      </w:r>
      <w:r>
        <w:rPr>
          <w:rFonts w:hint="eastAsia"/>
        </w:rPr>
        <w:t>和道路雨水</w:t>
      </w:r>
      <w:r>
        <w:t>进入地面生态设施</w:t>
      </w:r>
      <w:r>
        <w:rPr>
          <w:rFonts w:hint="eastAsia"/>
        </w:rPr>
        <w:t>。</w:t>
      </w:r>
    </w:p>
    <w:p w14:paraId="474628B5" w14:textId="77777777" w:rsidR="00622EE7" w:rsidRDefault="00E60909">
      <w:pPr>
        <w:spacing w:beforeLines="50" w:before="163" w:afterLines="50" w:after="163" w:line="360" w:lineRule="auto"/>
        <w:jc w:val="center"/>
        <w:outlineLvl w:val="1"/>
        <w:rPr>
          <w:rFonts w:ascii="Times New Roman" w:eastAsia="黑体" w:hAnsi="Times New Roman"/>
        </w:rPr>
      </w:pPr>
      <w:bookmarkStart w:id="52" w:name="_Toc182841367"/>
      <w:r>
        <w:rPr>
          <w:rFonts w:ascii="Times New Roman" w:eastAsia="黑体" w:hAnsi="Times New Roman" w:hint="eastAsia"/>
        </w:rPr>
        <w:lastRenderedPageBreak/>
        <w:t>9</w:t>
      </w:r>
      <w:r>
        <w:rPr>
          <w:rFonts w:ascii="Times New Roman" w:eastAsia="黑体" w:hAnsi="Times New Roman"/>
        </w:rPr>
        <w:t xml:space="preserve">.4 </w:t>
      </w:r>
      <w:r>
        <w:rPr>
          <w:rFonts w:ascii="Times New Roman" w:eastAsia="黑体" w:hAnsi="Times New Roman" w:hint="eastAsia"/>
        </w:rPr>
        <w:t>消防</w:t>
      </w:r>
      <w:bookmarkEnd w:id="52"/>
    </w:p>
    <w:p w14:paraId="69948EB4" w14:textId="77777777" w:rsidR="00622EE7" w:rsidRDefault="00E60909">
      <w:pPr>
        <w:pStyle w:val="af3"/>
        <w:numPr>
          <w:ilvl w:val="0"/>
          <w:numId w:val="34"/>
        </w:numPr>
        <w:spacing w:beforeLines="25" w:before="81"/>
        <w:ind w:left="0" w:firstLineChars="0" w:firstLine="0"/>
        <w:contextualSpacing/>
        <w:rPr>
          <w:rFonts w:ascii="楷体" w:eastAsia="楷体" w:hAnsi="楷体"/>
        </w:rPr>
      </w:pPr>
      <w:r>
        <w:rPr>
          <w:rFonts w:ascii="楷体" w:eastAsia="楷体" w:hAnsi="楷体" w:hint="eastAsia"/>
        </w:rPr>
        <w:t>【基础项】</w:t>
      </w:r>
      <w:r>
        <w:rPr>
          <w:rFonts w:hint="eastAsia"/>
        </w:rPr>
        <w:t>住宅及地下车库消防给水和灭火设施应满足消防安全的要求，并应满足现行国家标准《消防设施通用规范》</w:t>
      </w:r>
      <w:r>
        <w:rPr>
          <w:rFonts w:hint="eastAsia"/>
        </w:rPr>
        <w:t>GB 55036</w:t>
      </w:r>
      <w:r>
        <w:rPr>
          <w:rFonts w:hint="eastAsia"/>
        </w:rPr>
        <w:t>、《建筑防火通用规范》</w:t>
      </w:r>
      <w:r>
        <w:rPr>
          <w:rFonts w:hint="eastAsia"/>
        </w:rPr>
        <w:t>GB 55037</w:t>
      </w:r>
      <w:r>
        <w:rPr>
          <w:rFonts w:hint="eastAsia"/>
        </w:rPr>
        <w:t>、《建筑设计防火规范》</w:t>
      </w:r>
      <w:r>
        <w:rPr>
          <w:rFonts w:hint="eastAsia"/>
        </w:rPr>
        <w:t>GB 50016</w:t>
      </w:r>
      <w:r>
        <w:rPr>
          <w:rFonts w:hint="eastAsia"/>
        </w:rPr>
        <w:t>、《汽车库、修车库、停车场设计防火规范》</w:t>
      </w:r>
      <w:r>
        <w:rPr>
          <w:rFonts w:hint="eastAsia"/>
        </w:rPr>
        <w:t>GB 50067</w:t>
      </w:r>
      <w:r>
        <w:rPr>
          <w:rFonts w:hint="eastAsia"/>
        </w:rPr>
        <w:t>、《自动喷水灭火系统设计规范》</w:t>
      </w:r>
      <w:r>
        <w:rPr>
          <w:rFonts w:hint="eastAsia"/>
        </w:rPr>
        <w:t>GB 50084</w:t>
      </w:r>
      <w:r>
        <w:rPr>
          <w:rFonts w:hint="eastAsia"/>
        </w:rPr>
        <w:t>、《消防给水及消火栓系统技术</w:t>
      </w:r>
      <w:r>
        <w:rPr>
          <w:rFonts w:hint="eastAsia"/>
        </w:rPr>
        <w:t>规范》</w:t>
      </w:r>
      <w:r>
        <w:rPr>
          <w:rFonts w:hint="eastAsia"/>
        </w:rPr>
        <w:t>GB 50974</w:t>
      </w:r>
      <w:r>
        <w:rPr>
          <w:rFonts w:hint="eastAsia"/>
        </w:rPr>
        <w:t>、《建筑灭火器配置设计规范》</w:t>
      </w:r>
      <w:r>
        <w:rPr>
          <w:rFonts w:hint="eastAsia"/>
        </w:rPr>
        <w:t>GB 50140</w:t>
      </w:r>
      <w:r>
        <w:rPr>
          <w:rFonts w:hint="eastAsia"/>
        </w:rPr>
        <w:t>的有关规定。</w:t>
      </w:r>
    </w:p>
    <w:p w14:paraId="03337F43" w14:textId="77777777" w:rsidR="00622EE7" w:rsidRDefault="00E60909">
      <w:pPr>
        <w:pStyle w:val="af3"/>
        <w:numPr>
          <w:ilvl w:val="0"/>
          <w:numId w:val="34"/>
        </w:numPr>
        <w:spacing w:beforeLines="25" w:before="81"/>
        <w:ind w:left="0" w:firstLineChars="0" w:firstLine="0"/>
        <w:contextualSpacing/>
        <w:rPr>
          <w:rFonts w:ascii="楷体" w:eastAsia="楷体" w:hAnsi="楷体"/>
        </w:rPr>
      </w:pPr>
      <w:r>
        <w:rPr>
          <w:rFonts w:ascii="楷体" w:eastAsia="楷体" w:hAnsi="楷体" w:hint="eastAsia"/>
        </w:rPr>
        <w:t>【基础项】</w:t>
      </w:r>
      <w:r>
        <w:rPr>
          <w:rFonts w:hint="eastAsia"/>
        </w:rPr>
        <w:t>电动汽车分散充电设施的自动喷水灭火系统应符合《电动汽车分散充电设施工程技术标准》</w:t>
      </w:r>
      <w:r>
        <w:rPr>
          <w:rFonts w:hint="eastAsia"/>
        </w:rPr>
        <w:t>GB/T 51313</w:t>
      </w:r>
      <w:r>
        <w:rPr>
          <w:rFonts w:hint="eastAsia"/>
        </w:rPr>
        <w:t>的规定。</w:t>
      </w:r>
    </w:p>
    <w:p w14:paraId="69A5E815" w14:textId="77777777" w:rsidR="00622EE7" w:rsidRDefault="00E60909">
      <w:pPr>
        <w:pStyle w:val="af3"/>
        <w:numPr>
          <w:ilvl w:val="0"/>
          <w:numId w:val="34"/>
        </w:numPr>
        <w:spacing w:beforeLines="25" w:before="81"/>
        <w:ind w:left="0" w:firstLineChars="0" w:firstLine="0"/>
        <w:contextualSpacing/>
      </w:pPr>
      <w:r>
        <w:rPr>
          <w:rFonts w:ascii="楷体" w:eastAsia="楷体" w:hAnsi="楷体" w:hint="eastAsia"/>
        </w:rPr>
        <w:t>【基础项】</w:t>
      </w:r>
      <w:r>
        <w:rPr>
          <w:rFonts w:hint="eastAsia"/>
        </w:rPr>
        <w:t>集中布置的充电设施区域应按《建筑灭火器配置设计规范》</w:t>
      </w:r>
      <w:r>
        <w:rPr>
          <w:rFonts w:hint="eastAsia"/>
        </w:rPr>
        <w:t>GB 50140</w:t>
      </w:r>
      <w:r>
        <w:rPr>
          <w:rFonts w:hint="eastAsia"/>
        </w:rPr>
        <w:t>的规定配置灭火器；</w:t>
      </w:r>
    </w:p>
    <w:p w14:paraId="1CC5570F" w14:textId="77777777" w:rsidR="00622EE7" w:rsidRDefault="00E60909">
      <w:pPr>
        <w:pStyle w:val="af3"/>
        <w:numPr>
          <w:ilvl w:val="0"/>
          <w:numId w:val="34"/>
        </w:numPr>
        <w:spacing w:beforeLines="25" w:before="81"/>
        <w:ind w:left="0" w:firstLineChars="0" w:firstLine="0"/>
        <w:contextualSpacing/>
      </w:pPr>
      <w:r>
        <w:rPr>
          <w:rFonts w:ascii="楷体" w:eastAsia="楷体" w:hAnsi="楷体" w:hint="eastAsia"/>
        </w:rPr>
        <w:t>【基础项】</w:t>
      </w:r>
      <w:r>
        <w:rPr>
          <w:rFonts w:hint="eastAsia"/>
        </w:rPr>
        <w:t>电动自行车库应设置消防灭火系统。</w:t>
      </w:r>
    </w:p>
    <w:p w14:paraId="59A9945E" w14:textId="77777777" w:rsidR="00622EE7" w:rsidRDefault="00E60909">
      <w:pPr>
        <w:pStyle w:val="1"/>
      </w:pPr>
      <w:bookmarkStart w:id="53" w:name="_Toc182841368"/>
      <w:r>
        <w:lastRenderedPageBreak/>
        <w:t xml:space="preserve">10 </w:t>
      </w:r>
      <w:r>
        <w:rPr>
          <w:rFonts w:hint="eastAsia"/>
        </w:rPr>
        <w:t xml:space="preserve"> </w:t>
      </w:r>
      <w:r>
        <w:rPr>
          <w:rFonts w:hint="eastAsia"/>
        </w:rPr>
        <w:t>暖通空调</w:t>
      </w:r>
      <w:bookmarkEnd w:id="53"/>
    </w:p>
    <w:p w14:paraId="59ADC3A5" w14:textId="77777777" w:rsidR="00622EE7" w:rsidRDefault="00E60909">
      <w:pPr>
        <w:spacing w:beforeLines="50" w:before="163" w:afterLines="50" w:after="163" w:line="360" w:lineRule="auto"/>
        <w:jc w:val="center"/>
        <w:outlineLvl w:val="1"/>
        <w:rPr>
          <w:rFonts w:ascii="Times New Roman" w:eastAsia="黑体" w:hAnsi="Times New Roman"/>
        </w:rPr>
      </w:pPr>
      <w:bookmarkStart w:id="54" w:name="_Toc182841369"/>
      <w:bookmarkStart w:id="55" w:name="OLE_LINK1"/>
      <w:bookmarkStart w:id="56" w:name="OLE_LINK3"/>
      <w:r>
        <w:rPr>
          <w:rFonts w:ascii="Times New Roman" w:eastAsia="黑体" w:hAnsi="Times New Roman" w:hint="eastAsia"/>
        </w:rPr>
        <w:t>10</w:t>
      </w:r>
      <w:r>
        <w:rPr>
          <w:rFonts w:ascii="Times New Roman" w:eastAsia="黑体" w:hAnsi="Times New Roman"/>
        </w:rPr>
        <w:t xml:space="preserve">.1 </w:t>
      </w:r>
      <w:r>
        <w:rPr>
          <w:rFonts w:ascii="Times New Roman" w:eastAsia="黑体" w:hAnsi="Times New Roman" w:hint="eastAsia"/>
        </w:rPr>
        <w:t>供暖</w:t>
      </w:r>
      <w:bookmarkEnd w:id="54"/>
    </w:p>
    <w:p w14:paraId="7A37878D" w14:textId="77777777" w:rsidR="00622EE7" w:rsidRDefault="00E60909">
      <w:pPr>
        <w:pStyle w:val="af3"/>
        <w:numPr>
          <w:ilvl w:val="0"/>
          <w:numId w:val="35"/>
        </w:numPr>
        <w:ind w:left="0" w:firstLineChars="0" w:firstLine="0"/>
        <w:contextualSpacing/>
      </w:pPr>
      <w:r>
        <w:rPr>
          <w:rFonts w:ascii="楷体" w:eastAsia="楷体" w:hAnsi="楷体" w:hint="eastAsia"/>
        </w:rPr>
        <w:t>【基础项】</w:t>
      </w:r>
      <w:r>
        <w:rPr>
          <w:rFonts w:hint="eastAsia"/>
        </w:rPr>
        <w:t>居住建筑供暖热源应采用高能效、低污染的清洁供暖方式，并应符合下列规定</w:t>
      </w:r>
      <w:r>
        <w:rPr>
          <w:rFonts w:hint="eastAsia"/>
        </w:rPr>
        <w:t>:</w:t>
      </w:r>
    </w:p>
    <w:p w14:paraId="3F581AAB" w14:textId="77777777" w:rsidR="00622EE7" w:rsidRDefault="00E60909">
      <w:pPr>
        <w:pStyle w:val="af9"/>
        <w:numPr>
          <w:ilvl w:val="3"/>
          <w:numId w:val="36"/>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有可供利用的废热或低品位工业余热的区域，宜采用废热或工业余热</w:t>
      </w:r>
      <w:r>
        <w:rPr>
          <w:rFonts w:ascii="Times New Roman" w:eastAsia="宋体" w:hAnsi="Times New Roman" w:hint="eastAsia"/>
          <w:sz w:val="24"/>
          <w:szCs w:val="24"/>
        </w:rPr>
        <w:t>;</w:t>
      </w:r>
    </w:p>
    <w:p w14:paraId="3203E212" w14:textId="77777777" w:rsidR="00622EE7" w:rsidRDefault="00E60909">
      <w:pPr>
        <w:pStyle w:val="af9"/>
        <w:numPr>
          <w:ilvl w:val="3"/>
          <w:numId w:val="36"/>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技术经济条件合理时，应根据当地资源条件采用太阳能、热电联产的低品位余热、空气源热泵、地源热泵等可再生能源建筑应用形式或多能互补的可再生能源复合应用形式</w:t>
      </w:r>
      <w:r>
        <w:rPr>
          <w:rFonts w:ascii="Times New Roman" w:eastAsia="宋体" w:hAnsi="Times New Roman" w:hint="eastAsia"/>
          <w:sz w:val="24"/>
          <w:szCs w:val="24"/>
        </w:rPr>
        <w:t>;</w:t>
      </w:r>
    </w:p>
    <w:p w14:paraId="5A049F1C" w14:textId="77777777" w:rsidR="00622EE7" w:rsidRDefault="00E60909">
      <w:pPr>
        <w:pStyle w:val="af9"/>
        <w:numPr>
          <w:ilvl w:val="3"/>
          <w:numId w:val="36"/>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不具备本条第</w:t>
      </w:r>
      <w:r>
        <w:rPr>
          <w:rFonts w:ascii="Times New Roman" w:eastAsia="宋体" w:hAnsi="Times New Roman" w:hint="eastAsia"/>
          <w:sz w:val="24"/>
          <w:szCs w:val="24"/>
        </w:rPr>
        <w:t>1</w:t>
      </w:r>
      <w:r>
        <w:rPr>
          <w:rFonts w:ascii="Times New Roman" w:eastAsia="宋体" w:hAnsi="Times New Roman" w:hint="eastAsia"/>
          <w:sz w:val="24"/>
          <w:szCs w:val="24"/>
        </w:rPr>
        <w:t>、</w:t>
      </w:r>
      <w:r>
        <w:rPr>
          <w:rFonts w:ascii="Times New Roman" w:eastAsia="宋体" w:hAnsi="Times New Roman" w:hint="eastAsia"/>
          <w:sz w:val="24"/>
          <w:szCs w:val="24"/>
        </w:rPr>
        <w:t>2</w:t>
      </w:r>
      <w:r>
        <w:rPr>
          <w:rFonts w:ascii="Times New Roman" w:eastAsia="宋体" w:hAnsi="Times New Roman" w:hint="eastAsia"/>
          <w:sz w:val="24"/>
          <w:szCs w:val="24"/>
        </w:rPr>
        <w:t>款的条件，但在城市集中供热范围内时，应优先采用城市热网提供的热源。</w:t>
      </w:r>
    </w:p>
    <w:p w14:paraId="7E58D574" w14:textId="77777777" w:rsidR="00622EE7" w:rsidRDefault="00E60909">
      <w:pPr>
        <w:pStyle w:val="af3"/>
        <w:numPr>
          <w:ilvl w:val="0"/>
          <w:numId w:val="35"/>
        </w:numPr>
        <w:ind w:left="0" w:firstLineChars="0" w:firstLine="0"/>
        <w:contextualSpacing/>
      </w:pPr>
      <w:r>
        <w:rPr>
          <w:rFonts w:ascii="楷体" w:eastAsia="楷体" w:hAnsi="楷体" w:hint="eastAsia"/>
        </w:rPr>
        <w:t>【基础项】</w:t>
      </w:r>
      <w:r>
        <w:rPr>
          <w:rFonts w:hint="eastAsia"/>
        </w:rPr>
        <w:t>集中供热的室外管网应进行水力平衡计算，且应在热力站和建筑物热力人口处设置水力平衡或流量调节装置。</w:t>
      </w:r>
    </w:p>
    <w:p w14:paraId="3101ACA4" w14:textId="77777777" w:rsidR="00622EE7" w:rsidRDefault="00E60909">
      <w:pPr>
        <w:pStyle w:val="af3"/>
        <w:numPr>
          <w:ilvl w:val="0"/>
          <w:numId w:val="35"/>
        </w:numPr>
        <w:ind w:firstLineChars="0"/>
        <w:contextualSpacing/>
      </w:pPr>
      <w:bookmarkStart w:id="57" w:name="OLE_LINK13"/>
      <w:r>
        <w:rPr>
          <w:rFonts w:ascii="楷体" w:eastAsia="楷体" w:hAnsi="楷体" w:hint="eastAsia"/>
        </w:rPr>
        <w:t>【基础项】</w:t>
      </w:r>
      <w:bookmarkEnd w:id="57"/>
      <w:r>
        <w:rPr>
          <w:rFonts w:hint="eastAsia"/>
        </w:rPr>
        <w:t>锅炉房和换热机房应设置供热量自动控制装置。</w:t>
      </w:r>
    </w:p>
    <w:p w14:paraId="2848DFD4" w14:textId="77777777" w:rsidR="00622EE7" w:rsidRDefault="00E60909">
      <w:pPr>
        <w:pStyle w:val="af3"/>
        <w:numPr>
          <w:ilvl w:val="0"/>
          <w:numId w:val="35"/>
        </w:numPr>
        <w:ind w:firstLineChars="0"/>
        <w:contextualSpacing/>
        <w:rPr>
          <w:bCs/>
        </w:rPr>
      </w:pPr>
      <w:r>
        <w:rPr>
          <w:rFonts w:ascii="楷体" w:eastAsia="楷体" w:hAnsi="楷体" w:hint="eastAsia"/>
        </w:rPr>
        <w:t>【基础项】</w:t>
      </w:r>
      <w:r>
        <w:rPr>
          <w:rFonts w:hint="eastAsia"/>
        </w:rPr>
        <w:t>供暖系统应设置自动室温调控装置。</w:t>
      </w:r>
    </w:p>
    <w:p w14:paraId="0EBF901A" w14:textId="77777777" w:rsidR="00622EE7" w:rsidRDefault="00E60909">
      <w:pPr>
        <w:pStyle w:val="af3"/>
        <w:numPr>
          <w:ilvl w:val="0"/>
          <w:numId w:val="35"/>
        </w:numPr>
        <w:ind w:left="0" w:firstLineChars="0" w:firstLine="0"/>
        <w:contextualSpacing/>
        <w:rPr>
          <w:bCs/>
        </w:rPr>
      </w:pPr>
      <w:r>
        <w:rPr>
          <w:rFonts w:ascii="楷体" w:eastAsia="楷体" w:hAnsi="楷体" w:hint="eastAsia"/>
        </w:rPr>
        <w:t>【品质项】</w:t>
      </w:r>
      <w:r>
        <w:rPr>
          <w:rFonts w:hint="eastAsia"/>
          <w:bCs/>
        </w:rPr>
        <w:t>小区供暖二次管网管道及地下室供暖管道可采用聚氨酯保温聚乙烯外护层成品保温管道或其他高性能保温措施，减少热量损耗。</w:t>
      </w:r>
    </w:p>
    <w:p w14:paraId="6607DEE1" w14:textId="77777777" w:rsidR="00622EE7" w:rsidRDefault="00E60909">
      <w:pPr>
        <w:pStyle w:val="af3"/>
        <w:numPr>
          <w:ilvl w:val="0"/>
          <w:numId w:val="35"/>
        </w:numPr>
        <w:ind w:left="0" w:firstLineChars="0" w:firstLine="0"/>
        <w:contextualSpacing/>
        <w:rPr>
          <w:bCs/>
        </w:rPr>
      </w:pPr>
      <w:r>
        <w:rPr>
          <w:rFonts w:ascii="楷体" w:eastAsia="楷体" w:hAnsi="楷体" w:hint="eastAsia"/>
        </w:rPr>
        <w:t>【品质项】</w:t>
      </w:r>
      <w:r>
        <w:rPr>
          <w:rFonts w:hint="eastAsia"/>
          <w:bCs/>
        </w:rPr>
        <w:t>每户采暖管井及每楼栋</w:t>
      </w:r>
      <w:proofErr w:type="gramStart"/>
      <w:r>
        <w:rPr>
          <w:rFonts w:hint="eastAsia"/>
          <w:bCs/>
        </w:rPr>
        <w:t>热表间应内</w:t>
      </w:r>
      <w:proofErr w:type="gramEnd"/>
      <w:r>
        <w:rPr>
          <w:rFonts w:hint="eastAsia"/>
          <w:bCs/>
        </w:rPr>
        <w:t>设置调节装置。</w:t>
      </w:r>
    </w:p>
    <w:p w14:paraId="56FE48BC" w14:textId="77777777" w:rsidR="00622EE7" w:rsidRDefault="00E60909">
      <w:pPr>
        <w:pStyle w:val="af3"/>
        <w:numPr>
          <w:ilvl w:val="0"/>
          <w:numId w:val="35"/>
        </w:numPr>
        <w:ind w:left="0" w:firstLineChars="0" w:firstLine="0"/>
        <w:contextualSpacing/>
        <w:rPr>
          <w:bCs/>
        </w:rPr>
      </w:pPr>
      <w:r>
        <w:rPr>
          <w:rFonts w:ascii="楷体" w:eastAsia="楷体" w:hAnsi="楷体" w:hint="eastAsia"/>
        </w:rPr>
        <w:t>【提升项】</w:t>
      </w:r>
      <w:r>
        <w:rPr>
          <w:rFonts w:hint="eastAsia"/>
          <w:bCs/>
        </w:rPr>
        <w:t>住宅</w:t>
      </w:r>
      <w:proofErr w:type="gramStart"/>
      <w:r>
        <w:rPr>
          <w:rFonts w:hint="eastAsia"/>
          <w:bCs/>
        </w:rPr>
        <w:t>宜合理</w:t>
      </w:r>
      <w:proofErr w:type="gramEnd"/>
      <w:r>
        <w:rPr>
          <w:rFonts w:hint="eastAsia"/>
          <w:bCs/>
        </w:rPr>
        <w:t>采用舒适性较高、具有室温控制功能的低温热水地面辐射供暖系统，温控器的控制器设置</w:t>
      </w:r>
      <w:proofErr w:type="gramStart"/>
      <w:r>
        <w:rPr>
          <w:rFonts w:hint="eastAsia"/>
          <w:bCs/>
        </w:rPr>
        <w:t>高度宜距地面</w:t>
      </w:r>
      <w:proofErr w:type="gramEnd"/>
      <w:r>
        <w:rPr>
          <w:rFonts w:hint="eastAsia"/>
          <w:bCs/>
        </w:rPr>
        <w:t>1.4m</w:t>
      </w:r>
      <w:r>
        <w:rPr>
          <w:rFonts w:hint="eastAsia"/>
          <w:bCs/>
        </w:rPr>
        <w:t>或与照明开关在同一水平线上，室温型温控器应设置在附近无散热体、周围无遮挡物不受风直吹、不受阳光直晒、通风干燥、周围无热源体、能正确反映室内温度的位置，且不宜设在外墙上。</w:t>
      </w:r>
    </w:p>
    <w:p w14:paraId="74393CD2" w14:textId="77777777" w:rsidR="00622EE7" w:rsidRDefault="00E60909">
      <w:pPr>
        <w:spacing w:beforeLines="50" w:before="163" w:afterLines="50" w:after="163" w:line="360" w:lineRule="auto"/>
        <w:jc w:val="center"/>
        <w:outlineLvl w:val="1"/>
        <w:rPr>
          <w:rFonts w:ascii="Times New Roman" w:eastAsia="黑体" w:hAnsi="Times New Roman"/>
        </w:rPr>
      </w:pPr>
      <w:bookmarkStart w:id="58" w:name="_Toc182841370"/>
      <w:bookmarkEnd w:id="55"/>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通风和防排烟</w:t>
      </w:r>
      <w:bookmarkEnd w:id="58"/>
    </w:p>
    <w:p w14:paraId="52DF2D0A"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szCs w:val="24"/>
        </w:rPr>
        <w:t>应首先考虑采用自然通风消除建筑物余热、</w:t>
      </w:r>
      <w:proofErr w:type="gramStart"/>
      <w:r>
        <w:rPr>
          <w:rFonts w:hint="eastAsia"/>
          <w:szCs w:val="24"/>
        </w:rPr>
        <w:t>余湿和</w:t>
      </w:r>
      <w:proofErr w:type="gramEnd"/>
      <w:r>
        <w:rPr>
          <w:rFonts w:hint="eastAsia"/>
          <w:szCs w:val="24"/>
        </w:rPr>
        <w:t>进行室内污染物浓度控制。对于室外空气污染和噪声污染严重的地区，不宜采用自然通风。当自然通风不能满足室内卫生要求时，应采用机械通风，或自然通风和机械通风结合</w:t>
      </w:r>
      <w:r>
        <w:rPr>
          <w:rFonts w:hint="eastAsia"/>
          <w:szCs w:val="24"/>
        </w:rPr>
        <w:lastRenderedPageBreak/>
        <w:t>的复合通风。</w:t>
      </w:r>
    </w:p>
    <w:p w14:paraId="56CFB013"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szCs w:val="24"/>
        </w:rPr>
        <w:t>厨房、无外窗卫生间应采用机械排风系统或预留机械排风系统开口，且应留有必要的进风面积。</w:t>
      </w:r>
    </w:p>
    <w:p w14:paraId="78A2A1C4" w14:textId="77777777" w:rsidR="00622EE7" w:rsidRDefault="00E60909">
      <w:pPr>
        <w:pStyle w:val="af3"/>
        <w:numPr>
          <w:ilvl w:val="0"/>
          <w:numId w:val="37"/>
        </w:numPr>
        <w:ind w:left="0" w:firstLineChars="0" w:firstLine="0"/>
        <w:contextualSpacing/>
        <w:rPr>
          <w:bCs/>
        </w:rPr>
      </w:pPr>
      <w:r>
        <w:rPr>
          <w:rFonts w:ascii="楷体" w:eastAsia="楷体" w:hAnsi="楷体" w:hint="eastAsia"/>
        </w:rPr>
        <w:t>【品质项】</w:t>
      </w:r>
      <w:r>
        <w:rPr>
          <w:rFonts w:hint="eastAsia"/>
          <w:bCs/>
        </w:rPr>
        <w:t>住宅对外排气出口端头应设置防火、防鼠、防虫装置</w:t>
      </w:r>
      <w:bookmarkStart w:id="59" w:name="OLE_LINK15"/>
      <w:r>
        <w:rPr>
          <w:rFonts w:hint="eastAsia"/>
          <w:bCs/>
        </w:rPr>
        <w:t>。</w:t>
      </w:r>
      <w:bookmarkEnd w:id="59"/>
    </w:p>
    <w:p w14:paraId="1224C661" w14:textId="77777777" w:rsidR="00622EE7" w:rsidRDefault="00E60909">
      <w:pPr>
        <w:pStyle w:val="af3"/>
        <w:numPr>
          <w:ilvl w:val="0"/>
          <w:numId w:val="37"/>
        </w:numPr>
        <w:ind w:left="0" w:firstLineChars="0" w:firstLine="0"/>
        <w:contextualSpacing/>
        <w:rPr>
          <w:rFonts w:ascii="楷体" w:eastAsia="楷体" w:hAnsi="楷体"/>
        </w:rPr>
      </w:pPr>
      <w:r>
        <w:rPr>
          <w:rFonts w:ascii="楷体" w:eastAsia="楷体" w:hAnsi="楷体" w:hint="eastAsia"/>
        </w:rPr>
        <w:t>【品质项】</w:t>
      </w:r>
      <w:r>
        <w:rPr>
          <w:rFonts w:hint="eastAsia"/>
        </w:rPr>
        <w:t>当采用集中排风时，卫生间及厨房竖向风道采取防止支管回流和竖井渗漏的措施，排风竖井顶部设置防止室外风倒灌的措施；</w:t>
      </w:r>
      <w:r>
        <w:rPr>
          <w:rFonts w:hint="eastAsia"/>
        </w:rPr>
        <w:t>或当采用</w:t>
      </w:r>
      <w:proofErr w:type="gramStart"/>
      <w:r>
        <w:rPr>
          <w:rFonts w:hint="eastAsia"/>
        </w:rPr>
        <w:t>同层排油烟</w:t>
      </w:r>
      <w:proofErr w:type="gramEnd"/>
      <w:r>
        <w:rPr>
          <w:rFonts w:hint="eastAsia"/>
        </w:rPr>
        <w:t>、同层卫生间排风时，在室外排气口设置避风、防雨的构件，与建筑外立面相协调且不应影相邻住户。</w:t>
      </w:r>
    </w:p>
    <w:p w14:paraId="27DB398D"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szCs w:val="24"/>
        </w:rPr>
        <w:t>当地下汽车库采用自然通风时，车库内</w:t>
      </w:r>
      <w:r>
        <w:rPr>
          <w:rFonts w:hint="eastAsia"/>
          <w:szCs w:val="24"/>
        </w:rPr>
        <w:t>CO</w:t>
      </w:r>
      <w:r>
        <w:rPr>
          <w:rFonts w:hint="eastAsia"/>
          <w:szCs w:val="24"/>
        </w:rPr>
        <w:t>最高允许浓度大于</w:t>
      </w:r>
      <w:r>
        <w:rPr>
          <w:rFonts w:hint="eastAsia"/>
          <w:szCs w:val="24"/>
        </w:rPr>
        <w:t>30mg/m</w:t>
      </w:r>
      <w:r>
        <w:rPr>
          <w:rFonts w:hint="eastAsia"/>
          <w:szCs w:val="24"/>
          <w:vertAlign w:val="superscript"/>
        </w:rPr>
        <w:t>3</w:t>
      </w:r>
      <w:r>
        <w:rPr>
          <w:rFonts w:hint="eastAsia"/>
          <w:szCs w:val="24"/>
        </w:rPr>
        <w:t>时应设机械通风系统。室外排风口应设于建筑下风向，且远离人员活动区并宜作消声处理。</w:t>
      </w:r>
    </w:p>
    <w:p w14:paraId="203BA68C"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rPr>
        <w:t>住宅、配套及地下车库</w:t>
      </w:r>
      <w:r>
        <w:rPr>
          <w:rFonts w:hint="eastAsia"/>
          <w:szCs w:val="24"/>
        </w:rPr>
        <w:t>的防排烟系统应符合</w:t>
      </w:r>
      <w:r>
        <w:rPr>
          <w:rFonts w:hint="eastAsia"/>
        </w:rPr>
        <w:t>现行国家标准《建筑设计防火规范》</w:t>
      </w:r>
      <w:r>
        <w:rPr>
          <w:rFonts w:hint="eastAsia"/>
        </w:rPr>
        <w:t>GB</w:t>
      </w:r>
      <w:r>
        <w:t xml:space="preserve"> </w:t>
      </w:r>
      <w:r>
        <w:rPr>
          <w:rFonts w:hint="eastAsia"/>
        </w:rPr>
        <w:t>50016</w:t>
      </w:r>
      <w:r>
        <w:rPr>
          <w:rFonts w:hint="eastAsia"/>
        </w:rPr>
        <w:t>、《建筑防烟排烟系统技术标准》</w:t>
      </w:r>
      <w:r>
        <w:rPr>
          <w:rFonts w:hint="eastAsia"/>
        </w:rPr>
        <w:t>GB</w:t>
      </w:r>
      <w:r>
        <w:t xml:space="preserve"> </w:t>
      </w:r>
      <w:r>
        <w:rPr>
          <w:rFonts w:hint="eastAsia"/>
        </w:rPr>
        <w:t>51251</w:t>
      </w:r>
      <w:r>
        <w:rPr>
          <w:rFonts w:hint="eastAsia"/>
        </w:rPr>
        <w:t>、</w:t>
      </w:r>
      <w:r>
        <w:rPr>
          <w:rFonts w:hint="eastAsia"/>
          <w:szCs w:val="24"/>
        </w:rPr>
        <w:t>《汽车库、修车库、停车场设计防火规范》</w:t>
      </w:r>
      <w:r>
        <w:rPr>
          <w:rFonts w:hint="eastAsia"/>
          <w:szCs w:val="24"/>
        </w:rPr>
        <w:t>GB</w:t>
      </w:r>
      <w:r>
        <w:rPr>
          <w:szCs w:val="24"/>
        </w:rPr>
        <w:t xml:space="preserve"> </w:t>
      </w:r>
      <w:r>
        <w:rPr>
          <w:rFonts w:hint="eastAsia"/>
          <w:szCs w:val="24"/>
        </w:rPr>
        <w:t>50067</w:t>
      </w:r>
      <w:r>
        <w:rPr>
          <w:rFonts w:hint="eastAsia"/>
        </w:rPr>
        <w:t>的规定</w:t>
      </w:r>
      <w:r>
        <w:rPr>
          <w:rFonts w:hint="eastAsia"/>
          <w:szCs w:val="24"/>
        </w:rPr>
        <w:t>。</w:t>
      </w:r>
    </w:p>
    <w:p w14:paraId="2B7117E9" w14:textId="77777777" w:rsidR="00622EE7" w:rsidRDefault="00E60909">
      <w:pPr>
        <w:spacing w:beforeLines="50" w:before="163" w:afterLines="50" w:after="163" w:line="360" w:lineRule="auto"/>
        <w:jc w:val="center"/>
        <w:outlineLvl w:val="1"/>
        <w:rPr>
          <w:rFonts w:ascii="Times New Roman" w:eastAsia="楷体" w:hAnsi="Times New Roman"/>
          <w:szCs w:val="24"/>
        </w:rPr>
      </w:pPr>
      <w:bookmarkStart w:id="60" w:name="_Toc182841371"/>
      <w:bookmarkStart w:id="61" w:name="OLE_LINK2"/>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3</w:t>
      </w:r>
      <w:r>
        <w:rPr>
          <w:rFonts w:ascii="Times New Roman" w:eastAsia="黑体" w:hAnsi="Times New Roman"/>
        </w:rPr>
        <w:t xml:space="preserve"> </w:t>
      </w:r>
      <w:r>
        <w:rPr>
          <w:rFonts w:ascii="Times New Roman" w:eastAsia="黑体" w:hAnsi="Times New Roman" w:hint="eastAsia"/>
        </w:rPr>
        <w:t>空气调节</w:t>
      </w:r>
      <w:bookmarkEnd w:id="60"/>
      <w:bookmarkEnd w:id="61"/>
    </w:p>
    <w:p w14:paraId="2CAF1153" w14:textId="77777777" w:rsidR="00622EE7" w:rsidRDefault="00E60909">
      <w:pPr>
        <w:pStyle w:val="af3"/>
        <w:numPr>
          <w:ilvl w:val="0"/>
          <w:numId w:val="38"/>
        </w:numPr>
        <w:ind w:left="0" w:firstLineChars="0" w:firstLine="0"/>
        <w:contextualSpacing/>
        <w:rPr>
          <w:bCs/>
        </w:rPr>
      </w:pPr>
      <w:r>
        <w:rPr>
          <w:rFonts w:ascii="楷体" w:eastAsia="楷体" w:hAnsi="楷体" w:hint="eastAsia"/>
        </w:rPr>
        <w:t>【基础项】</w:t>
      </w:r>
      <w:r>
        <w:rPr>
          <w:rFonts w:hint="eastAsia"/>
        </w:rPr>
        <w:t>当采用房间空气调节器时，设备能效应符合</w:t>
      </w:r>
      <w:bookmarkStart w:id="62" w:name="OLE_LINK20"/>
      <w:r>
        <w:rPr>
          <w:rFonts w:hint="eastAsia"/>
        </w:rPr>
        <w:t>现行国家标准</w:t>
      </w:r>
      <w:bookmarkEnd w:id="62"/>
      <w:r>
        <w:rPr>
          <w:rFonts w:hint="eastAsia"/>
        </w:rPr>
        <w:t>《建筑节能与可再生能源利用通用规范》</w:t>
      </w:r>
      <w:r>
        <w:rPr>
          <w:rFonts w:hint="eastAsia"/>
        </w:rPr>
        <w:t xml:space="preserve">GB 55015 </w:t>
      </w:r>
      <w:r>
        <w:rPr>
          <w:rFonts w:hint="eastAsia"/>
        </w:rPr>
        <w:t>的规定。</w:t>
      </w:r>
    </w:p>
    <w:p w14:paraId="53386229" w14:textId="77777777" w:rsidR="00622EE7" w:rsidRDefault="00E60909">
      <w:pPr>
        <w:pStyle w:val="af3"/>
        <w:numPr>
          <w:ilvl w:val="0"/>
          <w:numId w:val="38"/>
        </w:numPr>
        <w:ind w:left="0" w:firstLineChars="0" w:firstLine="0"/>
        <w:contextualSpacing/>
        <w:rPr>
          <w:bCs/>
        </w:rPr>
      </w:pPr>
      <w:r>
        <w:rPr>
          <w:rFonts w:ascii="楷体" w:eastAsia="楷体" w:hAnsi="楷体" w:hint="eastAsia"/>
        </w:rPr>
        <w:t>【品质项】</w:t>
      </w:r>
      <w:r>
        <w:rPr>
          <w:rFonts w:hint="eastAsia"/>
          <w:bCs/>
        </w:rPr>
        <w:t>空调室外机位应与建筑一体化设计，室外机设置或预留的位置应利于室外机散热，且室外机位的百叶</w:t>
      </w:r>
      <w:proofErr w:type="gramStart"/>
      <w:r>
        <w:rPr>
          <w:rFonts w:hint="eastAsia"/>
          <w:bCs/>
        </w:rPr>
        <w:t>通透率</w:t>
      </w:r>
      <w:proofErr w:type="gramEnd"/>
      <w:r>
        <w:rPr>
          <w:rFonts w:hint="eastAsia"/>
          <w:bCs/>
        </w:rPr>
        <w:t>不应小于</w:t>
      </w:r>
      <w:r>
        <w:rPr>
          <w:rFonts w:hint="eastAsia"/>
          <w:bCs/>
        </w:rPr>
        <w:t>70%</w:t>
      </w:r>
      <w:r>
        <w:rPr>
          <w:rFonts w:hint="eastAsia"/>
          <w:bCs/>
        </w:rPr>
        <w:t>。避免空调室外机散热吹向阳台内侧或直接吹向相邻住户卧室、起居室的窗口和阳台，当设置在建筑外立面凹槽内时应保证空调室外机进风与排风顺畅。</w:t>
      </w:r>
    </w:p>
    <w:p w14:paraId="351AA3E6" w14:textId="77777777" w:rsidR="00622EE7" w:rsidRDefault="00E60909">
      <w:pPr>
        <w:pStyle w:val="af3"/>
        <w:numPr>
          <w:ilvl w:val="0"/>
          <w:numId w:val="38"/>
        </w:numPr>
        <w:ind w:left="0" w:firstLineChars="0" w:firstLine="0"/>
        <w:contextualSpacing/>
        <w:rPr>
          <w:bCs/>
        </w:rPr>
      </w:pPr>
      <w:r>
        <w:rPr>
          <w:rFonts w:ascii="楷体" w:eastAsia="楷体" w:hAnsi="楷体" w:hint="eastAsia"/>
        </w:rPr>
        <w:t>【品质项】</w:t>
      </w:r>
      <w:r>
        <w:rPr>
          <w:rFonts w:hint="eastAsia"/>
          <w:bCs/>
        </w:rPr>
        <w:t>应考虑室外机设备的安装和维修的便利，室外机位置的百叶应便于拆卸。</w:t>
      </w:r>
    </w:p>
    <w:p w14:paraId="5A0E82B3" w14:textId="77777777" w:rsidR="00622EE7" w:rsidRDefault="00E60909">
      <w:pPr>
        <w:pStyle w:val="af3"/>
        <w:numPr>
          <w:ilvl w:val="0"/>
          <w:numId w:val="38"/>
        </w:numPr>
        <w:ind w:left="0" w:firstLineChars="0" w:firstLine="0"/>
        <w:contextualSpacing/>
        <w:rPr>
          <w:bCs/>
        </w:rPr>
      </w:pPr>
      <w:r>
        <w:rPr>
          <w:rFonts w:ascii="楷体" w:eastAsia="楷体" w:hAnsi="楷体" w:hint="eastAsia"/>
        </w:rPr>
        <w:t>【品质项】</w:t>
      </w:r>
      <w:r>
        <w:rPr>
          <w:rFonts w:hint="eastAsia"/>
          <w:bCs/>
        </w:rPr>
        <w:t>户内应预留新风系统通风器的安装位置、风管的安装位</w:t>
      </w:r>
      <w:r>
        <w:rPr>
          <w:rFonts w:hint="eastAsia"/>
          <w:bCs/>
        </w:rPr>
        <w:t>置、室外新风口和排风口的位置、室内风管穿墙的孔洞。</w:t>
      </w:r>
    </w:p>
    <w:p w14:paraId="79B8E630" w14:textId="77777777" w:rsidR="00622EE7" w:rsidRDefault="00E60909">
      <w:pPr>
        <w:pStyle w:val="af3"/>
        <w:numPr>
          <w:ilvl w:val="0"/>
          <w:numId w:val="38"/>
        </w:numPr>
        <w:ind w:left="0" w:firstLineChars="0" w:firstLine="0"/>
        <w:contextualSpacing/>
        <w:rPr>
          <w:bCs/>
        </w:rPr>
      </w:pPr>
      <w:r>
        <w:rPr>
          <w:rFonts w:ascii="楷体" w:eastAsia="楷体" w:hAnsi="楷体" w:hint="eastAsia"/>
        </w:rPr>
        <w:t>【创新项】</w:t>
      </w:r>
      <w:r>
        <w:rPr>
          <w:rFonts w:hint="eastAsia"/>
          <w:bCs/>
        </w:rPr>
        <w:t>户内主要功能房间宜采用具有空气净化功能的新风系统，或在空调系统内部设置净化、杀菌等功能装置，提升室内空气质量。同时宜设置加热器等预热措施以防止结露、送风温度过低等影响室内舒适度的问题。</w:t>
      </w:r>
    </w:p>
    <w:p w14:paraId="4563C57C" w14:textId="77777777" w:rsidR="00622EE7" w:rsidRDefault="00E60909">
      <w:pPr>
        <w:spacing w:beforeLines="50" w:before="163" w:afterLines="50" w:after="163" w:line="360" w:lineRule="auto"/>
        <w:jc w:val="center"/>
        <w:outlineLvl w:val="1"/>
        <w:rPr>
          <w:rFonts w:ascii="Times New Roman" w:eastAsia="黑体" w:hAnsi="Times New Roman"/>
        </w:rPr>
      </w:pPr>
      <w:bookmarkStart w:id="63" w:name="_Toc182841372"/>
      <w:bookmarkStart w:id="64" w:name="OLE_LINK8"/>
      <w:r>
        <w:rPr>
          <w:rFonts w:ascii="Times New Roman" w:eastAsia="黑体" w:hAnsi="Times New Roman" w:hint="eastAsia"/>
        </w:rPr>
        <w:lastRenderedPageBreak/>
        <w:t xml:space="preserve">10.4 </w:t>
      </w:r>
      <w:r>
        <w:rPr>
          <w:rFonts w:ascii="Times New Roman" w:eastAsia="黑体" w:hAnsi="Times New Roman" w:hint="eastAsia"/>
        </w:rPr>
        <w:t>计量与监测</w:t>
      </w:r>
      <w:bookmarkEnd w:id="63"/>
    </w:p>
    <w:bookmarkEnd w:id="64"/>
    <w:p w14:paraId="1F9BFE3D" w14:textId="77777777" w:rsidR="00622EE7" w:rsidRDefault="00E60909">
      <w:pPr>
        <w:pStyle w:val="af3"/>
        <w:numPr>
          <w:ilvl w:val="0"/>
          <w:numId w:val="39"/>
        </w:numPr>
        <w:ind w:firstLineChars="0"/>
        <w:contextualSpacing/>
      </w:pPr>
      <w:r>
        <w:rPr>
          <w:rFonts w:ascii="楷体" w:eastAsia="楷体" w:hAnsi="楷体" w:hint="eastAsia"/>
        </w:rPr>
        <w:t>【基础项】</w:t>
      </w:r>
      <w:r>
        <w:rPr>
          <w:rFonts w:hint="eastAsia"/>
        </w:rPr>
        <w:t>集中供暖系统热量计量应符合下列规定：</w:t>
      </w:r>
    </w:p>
    <w:p w14:paraId="3E753BFB"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锅炉房和换热机房供暖总管上，应设置计量总供热量的热量计量装置；</w:t>
      </w:r>
    </w:p>
    <w:p w14:paraId="328AF383"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建筑物热力入口处，必须设置热量表，作为该建筑物供热量结算点；</w:t>
      </w:r>
    </w:p>
    <w:p w14:paraId="17ACAE93"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居住建筑室内供暖系统应根据设备形式和使用条件设置热量调控和分配装置；</w:t>
      </w:r>
    </w:p>
    <w:p w14:paraId="56B209E7"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用于热量结算的热量计量必须采用热量表。</w:t>
      </w:r>
    </w:p>
    <w:p w14:paraId="0732CE38" w14:textId="77777777" w:rsidR="00622EE7" w:rsidRDefault="00E60909">
      <w:pPr>
        <w:pStyle w:val="af3"/>
        <w:numPr>
          <w:ilvl w:val="0"/>
          <w:numId w:val="39"/>
        </w:numPr>
        <w:ind w:firstLineChars="0"/>
        <w:contextualSpacing/>
      </w:pPr>
      <w:r>
        <w:rPr>
          <w:rFonts w:ascii="楷体" w:eastAsia="楷体" w:hAnsi="楷体" w:hint="eastAsia"/>
        </w:rPr>
        <w:t>【基础项】</w:t>
      </w:r>
      <w:r>
        <w:rPr>
          <w:rFonts w:hint="eastAsia"/>
        </w:rPr>
        <w:t>住宅小区的锅炉房、换热机房应对下列内容进行计量</w:t>
      </w:r>
      <w:r>
        <w:rPr>
          <w:rFonts w:hint="eastAsia"/>
        </w:rPr>
        <w:t>:</w:t>
      </w:r>
    </w:p>
    <w:p w14:paraId="431DF204"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燃料的消耗量；</w:t>
      </w:r>
    </w:p>
    <w:p w14:paraId="6EDA5BB7"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供热系统的总供热量；</w:t>
      </w:r>
    </w:p>
    <w:p w14:paraId="49FD7AA2"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系统耗电量；</w:t>
      </w:r>
    </w:p>
    <w:p w14:paraId="1C567C22"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补水量。</w:t>
      </w:r>
    </w:p>
    <w:p w14:paraId="3CE4F1AE" w14:textId="77777777" w:rsidR="00622EE7" w:rsidRDefault="00E60909">
      <w:pPr>
        <w:pStyle w:val="af3"/>
        <w:numPr>
          <w:ilvl w:val="0"/>
          <w:numId w:val="39"/>
        </w:numPr>
        <w:ind w:left="0" w:firstLineChars="0" w:firstLine="0"/>
        <w:contextualSpacing/>
        <w:rPr>
          <w:rFonts w:ascii="楷体" w:eastAsia="楷体" w:hAnsi="楷体"/>
        </w:rPr>
      </w:pPr>
      <w:r>
        <w:rPr>
          <w:rFonts w:ascii="楷体" w:eastAsia="楷体" w:hAnsi="楷体" w:hint="eastAsia"/>
        </w:rPr>
        <w:t>【品质项】</w:t>
      </w:r>
      <w:r>
        <w:rPr>
          <w:rFonts w:hint="eastAsia"/>
          <w:bCs/>
        </w:rPr>
        <w:t>集中供热系统采用的</w:t>
      </w:r>
      <w:bookmarkStart w:id="65" w:name="OLE_LINK17"/>
      <w:r>
        <w:rPr>
          <w:rFonts w:hint="eastAsia"/>
          <w:bCs/>
        </w:rPr>
        <w:t>计量</w:t>
      </w:r>
      <w:r>
        <w:rPr>
          <w:rFonts w:hint="eastAsia"/>
        </w:rPr>
        <w:t>装置应</w:t>
      </w:r>
      <w:r>
        <w:rPr>
          <w:rFonts w:hint="eastAsia"/>
          <w:bCs/>
        </w:rPr>
        <w:t>具有远传功能</w:t>
      </w:r>
      <w:bookmarkEnd w:id="65"/>
      <w:r>
        <w:rPr>
          <w:rFonts w:hint="eastAsia"/>
          <w:bCs/>
        </w:rPr>
        <w:t>，计量管理系统应按分类、分区、分项</w:t>
      </w:r>
      <w:r>
        <w:rPr>
          <w:rFonts w:hint="eastAsia"/>
        </w:rPr>
        <w:t>实现对数据的监测、分析和管理</w:t>
      </w:r>
      <w:r>
        <w:rPr>
          <w:rFonts w:hint="eastAsia"/>
          <w:bCs/>
        </w:rPr>
        <w:t>。</w:t>
      </w:r>
    </w:p>
    <w:p w14:paraId="36186512" w14:textId="77777777" w:rsidR="00622EE7" w:rsidRDefault="00E60909">
      <w:pPr>
        <w:pStyle w:val="af3"/>
        <w:numPr>
          <w:ilvl w:val="0"/>
          <w:numId w:val="39"/>
        </w:numPr>
        <w:ind w:left="0" w:firstLineChars="0" w:firstLine="0"/>
        <w:contextualSpacing/>
        <w:rPr>
          <w:bCs/>
        </w:rPr>
      </w:pPr>
      <w:r>
        <w:rPr>
          <w:rFonts w:ascii="楷体" w:eastAsia="楷体" w:hAnsi="楷体" w:hint="eastAsia"/>
        </w:rPr>
        <w:t>【创新项】</w:t>
      </w:r>
      <w:r>
        <w:rPr>
          <w:rFonts w:hint="eastAsia"/>
          <w:bCs/>
        </w:rPr>
        <w:t>设置新风系统的住宅，每户设置空气质量监测系统，并具备室内空气污染物超标报警功能，检测系统的</w:t>
      </w:r>
      <w:r>
        <w:rPr>
          <w:rFonts w:hint="eastAsia"/>
          <w:bCs/>
        </w:rPr>
        <w:t>CO</w:t>
      </w:r>
      <w:r>
        <w:rPr>
          <w:rFonts w:hint="eastAsia"/>
          <w:bCs/>
          <w:vertAlign w:val="subscript"/>
        </w:rPr>
        <w:t>2</w:t>
      </w:r>
      <w:r>
        <w:rPr>
          <w:rFonts w:hint="eastAsia"/>
          <w:bCs/>
        </w:rPr>
        <w:t>、</w:t>
      </w:r>
      <w:r>
        <w:rPr>
          <w:rFonts w:hint="eastAsia"/>
          <w:bCs/>
        </w:rPr>
        <w:t>PM2.5</w:t>
      </w:r>
      <w:bookmarkStart w:id="66" w:name="OLE_LINK19"/>
      <w:r>
        <w:rPr>
          <w:rFonts w:hint="eastAsia"/>
          <w:bCs/>
        </w:rPr>
        <w:t>、</w:t>
      </w:r>
      <w:r>
        <w:rPr>
          <w:rFonts w:hint="eastAsia"/>
          <w:bCs/>
        </w:rPr>
        <w:t>PM10</w:t>
      </w:r>
      <w:bookmarkEnd w:id="66"/>
      <w:r>
        <w:rPr>
          <w:rFonts w:hint="eastAsia"/>
          <w:bCs/>
        </w:rPr>
        <w:t>传感器设置在能反映被测房间空气状态的</w:t>
      </w:r>
      <w:r>
        <w:rPr>
          <w:rFonts w:hint="eastAsia"/>
          <w:bCs/>
        </w:rPr>
        <w:t>位置，装置至少对</w:t>
      </w:r>
      <w:r>
        <w:rPr>
          <w:rFonts w:hint="eastAsia"/>
          <w:bCs/>
        </w:rPr>
        <w:t>CO</w:t>
      </w:r>
      <w:r>
        <w:rPr>
          <w:rFonts w:hint="eastAsia"/>
          <w:bCs/>
          <w:vertAlign w:val="subscript"/>
        </w:rPr>
        <w:t>2</w:t>
      </w:r>
      <w:r>
        <w:rPr>
          <w:rFonts w:hint="eastAsia"/>
          <w:bCs/>
        </w:rPr>
        <w:t>、</w:t>
      </w:r>
      <w:r>
        <w:rPr>
          <w:rFonts w:hint="eastAsia"/>
          <w:bCs/>
        </w:rPr>
        <w:t>PM2.5</w:t>
      </w:r>
      <w:r>
        <w:rPr>
          <w:rFonts w:hint="eastAsia"/>
          <w:bCs/>
        </w:rPr>
        <w:t>、</w:t>
      </w:r>
      <w:r>
        <w:rPr>
          <w:rFonts w:hint="eastAsia"/>
          <w:bCs/>
        </w:rPr>
        <w:t>PM10</w:t>
      </w:r>
      <w:r>
        <w:rPr>
          <w:rFonts w:hint="eastAsia"/>
          <w:bCs/>
        </w:rPr>
        <w:t>分别进行定时连续测量、显示、记录、数据传输和超标报警。</w:t>
      </w:r>
    </w:p>
    <w:p w14:paraId="60EA3A9B" w14:textId="77777777" w:rsidR="00622EE7" w:rsidRDefault="00E60909">
      <w:pPr>
        <w:pStyle w:val="af3"/>
        <w:numPr>
          <w:ilvl w:val="0"/>
          <w:numId w:val="39"/>
        </w:numPr>
        <w:ind w:left="0" w:firstLineChars="0" w:firstLine="0"/>
        <w:contextualSpacing/>
        <w:rPr>
          <w:bCs/>
        </w:rPr>
      </w:pPr>
      <w:r>
        <w:rPr>
          <w:rFonts w:ascii="楷体" w:eastAsia="楷体" w:hAnsi="楷体" w:hint="eastAsia"/>
        </w:rPr>
        <w:t>【品质项】</w:t>
      </w:r>
      <w:r>
        <w:rPr>
          <w:rFonts w:hint="eastAsia"/>
          <w:bCs/>
        </w:rPr>
        <w:t>地下机动车库设置与排风设备联动的</w:t>
      </w:r>
      <w:r>
        <w:rPr>
          <w:rFonts w:hint="eastAsia"/>
        </w:rPr>
        <w:t>C</w:t>
      </w:r>
      <w:r>
        <w:t>O</w:t>
      </w:r>
      <w:r>
        <w:rPr>
          <w:rFonts w:hint="eastAsia"/>
          <w:bCs/>
        </w:rPr>
        <w:t>浓度监测装置，一个防火分区至少设置一个</w:t>
      </w:r>
      <w:r>
        <w:rPr>
          <w:rFonts w:hint="eastAsia"/>
        </w:rPr>
        <w:t>C</w:t>
      </w:r>
      <w:r>
        <w:t>O</w:t>
      </w:r>
      <w:r>
        <w:rPr>
          <w:rStyle w:val="af2"/>
          <w:rFonts w:hint="eastAsia"/>
          <w:sz w:val="24"/>
          <w:szCs w:val="24"/>
        </w:rPr>
        <w:t>监</w:t>
      </w:r>
      <w:r>
        <w:rPr>
          <w:rFonts w:hint="eastAsia"/>
        </w:rPr>
        <w:t>测</w:t>
      </w:r>
      <w:r>
        <w:rPr>
          <w:rFonts w:hint="eastAsia"/>
          <w:bCs/>
        </w:rPr>
        <w:t>点并与通风系统联动，超过设定的量值时即报警并启动排风系统。</w:t>
      </w:r>
    </w:p>
    <w:p w14:paraId="14D728B3" w14:textId="77777777" w:rsidR="00622EE7" w:rsidRDefault="00622EE7">
      <w:pPr>
        <w:pStyle w:val="af3"/>
        <w:ind w:firstLineChars="0" w:firstLine="0"/>
        <w:contextualSpacing/>
        <w:rPr>
          <w:bCs/>
        </w:rPr>
      </w:pPr>
    </w:p>
    <w:p w14:paraId="1D410D15" w14:textId="77777777" w:rsidR="00622EE7" w:rsidRDefault="00E60909">
      <w:pPr>
        <w:pStyle w:val="1"/>
      </w:pPr>
      <w:bookmarkStart w:id="67" w:name="_Toc182841373"/>
      <w:bookmarkEnd w:id="56"/>
      <w:r>
        <w:lastRenderedPageBreak/>
        <w:t xml:space="preserve">11 </w:t>
      </w:r>
      <w:r>
        <w:rPr>
          <w:rFonts w:hint="eastAsia"/>
        </w:rPr>
        <w:t xml:space="preserve"> </w:t>
      </w:r>
      <w:r>
        <w:rPr>
          <w:rFonts w:hint="eastAsia"/>
        </w:rPr>
        <w:t>电气与智能化</w:t>
      </w:r>
      <w:bookmarkEnd w:id="67"/>
    </w:p>
    <w:p w14:paraId="639F9EFE" w14:textId="77777777" w:rsidR="00622EE7" w:rsidRDefault="00E60909">
      <w:pPr>
        <w:spacing w:beforeLines="50" w:before="163" w:afterLines="50" w:after="163" w:line="360" w:lineRule="auto"/>
        <w:jc w:val="center"/>
        <w:outlineLvl w:val="1"/>
        <w:rPr>
          <w:rFonts w:ascii="Times New Roman" w:eastAsia="黑体" w:hAnsi="Times New Roman"/>
        </w:rPr>
      </w:pPr>
      <w:bookmarkStart w:id="68" w:name="_Toc182841374"/>
      <w:r>
        <w:rPr>
          <w:rFonts w:ascii="Times New Roman" w:eastAsia="黑体" w:hAnsi="Times New Roman" w:hint="eastAsia"/>
        </w:rPr>
        <w:t>1</w:t>
      </w:r>
      <w:r>
        <w:rPr>
          <w:rFonts w:ascii="Times New Roman" w:eastAsia="黑体" w:hAnsi="Times New Roman"/>
        </w:rPr>
        <w:t xml:space="preserve">1.1 </w:t>
      </w:r>
      <w:r>
        <w:rPr>
          <w:rFonts w:ascii="Times New Roman" w:eastAsia="黑体" w:hAnsi="Times New Roman" w:hint="eastAsia"/>
        </w:rPr>
        <w:t>充电与消防</w:t>
      </w:r>
      <w:bookmarkEnd w:id="68"/>
    </w:p>
    <w:p w14:paraId="7DA3513C"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机动车、电动车充电场所和相关设施应满足消防安全的要求，并应满足以下规定。</w:t>
      </w:r>
    </w:p>
    <w:p w14:paraId="7D705844" w14:textId="77777777" w:rsidR="00622EE7" w:rsidRDefault="00E60909">
      <w:pPr>
        <w:pStyle w:val="af9"/>
        <w:numPr>
          <w:ilvl w:val="3"/>
          <w:numId w:val="43"/>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电动汽车分散充电设施的火灾自动报警系统、消防应急照明和疏散指示标志的设置应符合现行国家标准《</w:t>
      </w:r>
      <w:r>
        <w:rPr>
          <w:rFonts w:ascii="Times New Roman" w:eastAsia="宋体" w:hAnsi="Times New Roman"/>
          <w:sz w:val="24"/>
          <w:szCs w:val="24"/>
        </w:rPr>
        <w:t>电动汽车分散充电设施工程技术标准</w:t>
      </w:r>
      <w:r>
        <w:rPr>
          <w:rFonts w:ascii="Times New Roman" w:eastAsia="宋体" w:hAnsi="Times New Roman" w:hint="eastAsia"/>
          <w:sz w:val="24"/>
          <w:szCs w:val="24"/>
        </w:rPr>
        <w:t>》</w:t>
      </w:r>
      <w:r>
        <w:rPr>
          <w:rFonts w:ascii="Times New Roman" w:eastAsia="宋体" w:hAnsi="Times New Roman" w:hint="eastAsia"/>
          <w:sz w:val="24"/>
          <w:szCs w:val="24"/>
        </w:rPr>
        <w:t>GB/T 51313</w:t>
      </w:r>
      <w:r>
        <w:rPr>
          <w:rFonts w:ascii="Times New Roman" w:eastAsia="宋体" w:hAnsi="Times New Roman" w:hint="eastAsia"/>
          <w:sz w:val="24"/>
          <w:szCs w:val="24"/>
        </w:rPr>
        <w:t>的规定；</w:t>
      </w:r>
      <w:r>
        <w:rPr>
          <w:rFonts w:ascii="Times New Roman" w:eastAsia="宋体" w:hAnsi="Times New Roman"/>
          <w:sz w:val="24"/>
          <w:szCs w:val="24"/>
        </w:rPr>
        <w:t xml:space="preserve"> </w:t>
      </w:r>
    </w:p>
    <w:p w14:paraId="59F71114" w14:textId="77777777" w:rsidR="00622EE7" w:rsidRDefault="00E60909">
      <w:pPr>
        <w:pStyle w:val="af9"/>
        <w:numPr>
          <w:ilvl w:val="3"/>
          <w:numId w:val="43"/>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除露天以外的其他电动自行车充电停放场所应设置消防应急照明和消防疏散指示标志，并应符合现行国家标准《消防应急照明和疏散指示系统技术标准》</w:t>
      </w:r>
      <w:r>
        <w:rPr>
          <w:rFonts w:ascii="Times New Roman" w:eastAsia="宋体" w:hAnsi="Times New Roman" w:hint="eastAsia"/>
          <w:sz w:val="24"/>
          <w:szCs w:val="24"/>
        </w:rPr>
        <w:t>GB 51309</w:t>
      </w:r>
      <w:r>
        <w:rPr>
          <w:rFonts w:ascii="Times New Roman" w:eastAsia="宋体" w:hAnsi="Times New Roman" w:hint="eastAsia"/>
          <w:sz w:val="24"/>
          <w:szCs w:val="24"/>
        </w:rPr>
        <w:t>的要求；</w:t>
      </w:r>
    </w:p>
    <w:p w14:paraId="76570727" w14:textId="77777777" w:rsidR="00622EE7" w:rsidRDefault="00E60909">
      <w:pPr>
        <w:pStyle w:val="af9"/>
        <w:numPr>
          <w:ilvl w:val="3"/>
          <w:numId w:val="43"/>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电动自行车库应设置火灾自动报警系统。</w:t>
      </w:r>
    </w:p>
    <w:p w14:paraId="03BA49AD"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住宅小区配建停车位应</w:t>
      </w:r>
      <w:r>
        <w:rPr>
          <w:rFonts w:hint="eastAsia"/>
          <w:b w:val="0"/>
        </w:rPr>
        <w:t>1</w:t>
      </w:r>
      <w:r>
        <w:rPr>
          <w:b w:val="0"/>
        </w:rPr>
        <w:t>00%</w:t>
      </w:r>
      <w:r>
        <w:rPr>
          <w:rFonts w:hint="eastAsia"/>
          <w:b w:val="0"/>
        </w:rPr>
        <w:t>建设充电设施或预留建设安装条件，预留条件应包括预留外电源管线、变压器容量、一级配电应预留低压柜安装空间、干线电缆敷设条</w:t>
      </w:r>
      <w:r>
        <w:rPr>
          <w:rFonts w:hint="eastAsia"/>
          <w:b w:val="0"/>
        </w:rPr>
        <w:t>件，第二级配电应预留</w:t>
      </w:r>
      <w:proofErr w:type="gramStart"/>
      <w:r>
        <w:rPr>
          <w:rFonts w:hint="eastAsia"/>
          <w:b w:val="0"/>
        </w:rPr>
        <w:t>区域总箱的</w:t>
      </w:r>
      <w:proofErr w:type="gramEnd"/>
      <w:r>
        <w:rPr>
          <w:rFonts w:hint="eastAsia"/>
          <w:b w:val="0"/>
        </w:rPr>
        <w:t>安装空间与接入系统位置和配电支路电缆敷设条件。</w:t>
      </w:r>
    </w:p>
    <w:p w14:paraId="1CA9118B"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公共电梯应安装防止电动非机动车进入的报警系统。</w:t>
      </w:r>
    </w:p>
    <w:p w14:paraId="1D12D4F8"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【品质项】</w:t>
      </w:r>
      <w:r>
        <w:rPr>
          <w:b w:val="0"/>
        </w:rPr>
        <w:t>每处非机动车停车区域设置充电设施</w:t>
      </w:r>
      <w:r>
        <w:rPr>
          <w:rFonts w:hint="eastAsia"/>
          <w:b w:val="0"/>
        </w:rPr>
        <w:t>时，电动</w:t>
      </w:r>
      <w:proofErr w:type="gramStart"/>
      <w:r>
        <w:rPr>
          <w:rFonts w:hint="eastAsia"/>
          <w:b w:val="0"/>
        </w:rPr>
        <w:t>自行车充停场所</w:t>
      </w:r>
      <w:proofErr w:type="gramEnd"/>
      <w:r>
        <w:rPr>
          <w:rFonts w:hint="eastAsia"/>
          <w:b w:val="0"/>
        </w:rPr>
        <w:t>的充电插座数量与电动自行车数量之比不应低于</w:t>
      </w:r>
      <w:r>
        <w:rPr>
          <w:b w:val="0"/>
        </w:rPr>
        <w:t>1:3</w:t>
      </w:r>
      <w:r>
        <w:rPr>
          <w:rFonts w:hint="eastAsia"/>
          <w:b w:val="0"/>
        </w:rPr>
        <w:t>。</w:t>
      </w:r>
    </w:p>
    <w:p w14:paraId="7680EEE7"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消防设备配电线缆与非消防配电线缆应分开电缆桥架敷设。</w:t>
      </w:r>
    </w:p>
    <w:p w14:paraId="4B5A18B1"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各种电缆、导管、电缆桥架等管线在穿越场所的楼板、隔墙时，应采用不低于防火分隔部位耐火性能要求的防火封堵组件进行封堵。</w:t>
      </w:r>
    </w:p>
    <w:p w14:paraId="5A72130B"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设火灾自动报警系统时，应</w:t>
      </w:r>
      <w:proofErr w:type="gramStart"/>
      <w:r>
        <w:rPr>
          <w:rFonts w:hint="eastAsia"/>
          <w:b w:val="0"/>
        </w:rPr>
        <w:t>与消控室</w:t>
      </w:r>
      <w:proofErr w:type="gramEnd"/>
      <w:r>
        <w:rPr>
          <w:rFonts w:hint="eastAsia"/>
          <w:b w:val="0"/>
        </w:rPr>
        <w:t>报警主机联动。</w:t>
      </w:r>
    </w:p>
    <w:p w14:paraId="6551778B" w14:textId="77777777" w:rsidR="00622EE7" w:rsidRDefault="00E60909">
      <w:pPr>
        <w:pStyle w:val="af3"/>
        <w:numPr>
          <w:ilvl w:val="0"/>
          <w:numId w:val="42"/>
        </w:numPr>
        <w:ind w:left="0" w:firstLineChars="0" w:firstLine="0"/>
      </w:pPr>
      <w:r>
        <w:rPr>
          <w:rFonts w:ascii="楷体" w:eastAsia="楷体" w:hAnsi="楷体" w:hint="eastAsia"/>
        </w:rPr>
        <w:t>【基础项】</w:t>
      </w:r>
      <w:r>
        <w:t>电气系统</w:t>
      </w:r>
      <w:r>
        <w:rPr>
          <w:rFonts w:hint="eastAsia"/>
        </w:rPr>
        <w:t>应</w:t>
      </w:r>
      <w:proofErr w:type="gramStart"/>
      <w:r>
        <w:t>采用低烟低毒</w:t>
      </w:r>
      <w:proofErr w:type="gramEnd"/>
      <w:r>
        <w:t>阻燃型线缆，</w:t>
      </w:r>
      <w:r>
        <w:rPr>
          <w:rFonts w:hint="eastAsia"/>
        </w:rPr>
        <w:t>消防线路应采用</w:t>
      </w:r>
      <w:r>
        <w:t>矿物绝缘类不燃性电缆、耐火电缆等，且导体材料</w:t>
      </w:r>
      <w:r>
        <w:rPr>
          <w:rFonts w:hint="eastAsia"/>
        </w:rPr>
        <w:t>应</w:t>
      </w:r>
      <w:r>
        <w:t>采用铜芯</w:t>
      </w:r>
      <w:r>
        <w:rPr>
          <w:rFonts w:hint="eastAsia"/>
        </w:rPr>
        <w:t>。</w:t>
      </w:r>
    </w:p>
    <w:p w14:paraId="0163F494" w14:textId="77777777" w:rsidR="00622EE7" w:rsidRDefault="00E60909">
      <w:pPr>
        <w:spacing w:beforeLines="50" w:before="163" w:afterLines="50" w:after="163" w:line="360" w:lineRule="auto"/>
        <w:jc w:val="center"/>
        <w:outlineLvl w:val="1"/>
        <w:rPr>
          <w:rFonts w:ascii="Times New Roman" w:eastAsia="黑体" w:hAnsi="Times New Roman"/>
        </w:rPr>
      </w:pPr>
      <w:bookmarkStart w:id="69" w:name="_Toc182841375"/>
      <w:r>
        <w:rPr>
          <w:rFonts w:ascii="Times New Roman" w:eastAsia="黑体" w:hAnsi="Times New Roman" w:hint="eastAsia"/>
        </w:rPr>
        <w:t>1</w:t>
      </w:r>
      <w:r>
        <w:rPr>
          <w:rFonts w:ascii="Times New Roman" w:eastAsia="黑体" w:hAnsi="Times New Roman"/>
        </w:rPr>
        <w:t xml:space="preserve">1.2 </w:t>
      </w:r>
      <w:r>
        <w:rPr>
          <w:rFonts w:ascii="Times New Roman" w:eastAsia="黑体" w:hAnsi="Times New Roman" w:hint="eastAsia"/>
        </w:rPr>
        <w:t>配电</w:t>
      </w:r>
      <w:bookmarkEnd w:id="69"/>
    </w:p>
    <w:p w14:paraId="72AA8683" w14:textId="77777777" w:rsidR="00622EE7" w:rsidRDefault="00E60909">
      <w:pPr>
        <w:pStyle w:val="af3"/>
        <w:numPr>
          <w:ilvl w:val="0"/>
          <w:numId w:val="44"/>
        </w:numPr>
        <w:ind w:left="0" w:firstLineChars="0" w:firstLine="0"/>
        <w:rPr>
          <w:b/>
        </w:rPr>
      </w:pPr>
      <w:r>
        <w:rPr>
          <w:rFonts w:ascii="楷体" w:eastAsia="楷体" w:hAnsi="楷体" w:hint="eastAsia"/>
        </w:rPr>
        <w:t>【基础项】</w:t>
      </w:r>
      <w:r>
        <w:rPr>
          <w:rFonts w:hint="eastAsia"/>
        </w:rPr>
        <w:t>住宅配电干线的载流量不应少于计算电流的</w:t>
      </w:r>
      <w:r>
        <w:t>1.3</w:t>
      </w:r>
      <w:r>
        <w:t>倍。</w:t>
      </w:r>
    </w:p>
    <w:p w14:paraId="12F74B00" w14:textId="77777777" w:rsidR="00622EE7" w:rsidRDefault="00E60909">
      <w:pPr>
        <w:pStyle w:val="af3"/>
        <w:numPr>
          <w:ilvl w:val="0"/>
          <w:numId w:val="44"/>
        </w:numPr>
        <w:ind w:left="0" w:firstLineChars="0" w:firstLine="0"/>
      </w:pPr>
      <w:r>
        <w:rPr>
          <w:rFonts w:ascii="楷体" w:eastAsia="楷体" w:hAnsi="楷体" w:hint="eastAsia"/>
        </w:rPr>
        <w:lastRenderedPageBreak/>
        <w:t>【品质项】</w:t>
      </w:r>
      <w:r>
        <w:rPr>
          <w:rFonts w:hint="eastAsia"/>
        </w:rPr>
        <w:t>住宅首层门厅的电表箱、配电箱不应明露在住宅首层门厅内。</w:t>
      </w:r>
    </w:p>
    <w:p w14:paraId="3405044F" w14:textId="77777777" w:rsidR="00622EE7" w:rsidRDefault="00E60909">
      <w:pPr>
        <w:pStyle w:val="af3"/>
        <w:numPr>
          <w:ilvl w:val="0"/>
          <w:numId w:val="44"/>
        </w:numPr>
        <w:ind w:left="0" w:firstLineChars="0" w:firstLine="0"/>
        <w:rPr>
          <w:bCs/>
        </w:rPr>
      </w:pPr>
      <w:r>
        <w:rPr>
          <w:rFonts w:ascii="楷体" w:eastAsia="楷体" w:hAnsi="楷体" w:hint="eastAsia"/>
        </w:rPr>
        <w:t>【品质项】</w:t>
      </w:r>
      <w:r>
        <w:rPr>
          <w:bCs/>
        </w:rPr>
        <w:t>商铺配电最小线</w:t>
      </w:r>
      <w:proofErr w:type="gramStart"/>
      <w:r>
        <w:rPr>
          <w:bCs/>
        </w:rPr>
        <w:t>径</w:t>
      </w:r>
      <w:proofErr w:type="gramEnd"/>
      <w:r>
        <w:rPr>
          <w:bCs/>
        </w:rPr>
        <w:t>不</w:t>
      </w:r>
      <w:r>
        <w:rPr>
          <w:rFonts w:hint="eastAsia"/>
          <w:bCs/>
        </w:rPr>
        <w:t>应</w:t>
      </w:r>
      <w:r>
        <w:rPr>
          <w:bCs/>
        </w:rPr>
        <w:t>少于</w:t>
      </w:r>
      <w:r>
        <w:rPr>
          <w:bCs/>
        </w:rPr>
        <w:t>10mm</w:t>
      </w:r>
      <w:r>
        <w:rPr>
          <w:bCs/>
          <w:vertAlign w:val="superscript"/>
        </w:rPr>
        <w:t>2</w:t>
      </w:r>
      <w:r>
        <w:rPr>
          <w:bCs/>
        </w:rPr>
        <w:t>。</w:t>
      </w:r>
    </w:p>
    <w:p w14:paraId="3F832537" w14:textId="77777777" w:rsidR="00622EE7" w:rsidRDefault="00E60909">
      <w:pPr>
        <w:pStyle w:val="af3"/>
        <w:numPr>
          <w:ilvl w:val="0"/>
          <w:numId w:val="44"/>
        </w:numPr>
        <w:ind w:left="0" w:firstLineChars="0" w:firstLine="0"/>
        <w:rPr>
          <w:bCs/>
        </w:rPr>
      </w:pPr>
      <w:r>
        <w:rPr>
          <w:rFonts w:ascii="楷体" w:eastAsia="楷体" w:hAnsi="楷体" w:hint="eastAsia"/>
        </w:rPr>
        <w:t>【品质项】</w:t>
      </w:r>
      <w:r>
        <w:rPr>
          <w:rFonts w:hint="eastAsia"/>
          <w:bCs/>
        </w:rPr>
        <w:t>高品质住宅小区内的</w:t>
      </w:r>
      <w:r>
        <w:rPr>
          <w:bCs/>
        </w:rPr>
        <w:t>智能信报箱、快递柜，</w:t>
      </w:r>
      <w:r>
        <w:rPr>
          <w:rFonts w:hint="eastAsia"/>
          <w:bCs/>
        </w:rPr>
        <w:t>应</w:t>
      </w:r>
      <w:r>
        <w:rPr>
          <w:bCs/>
        </w:rPr>
        <w:t>预留电源，且容量不小于</w:t>
      </w:r>
      <w:r>
        <w:rPr>
          <w:bCs/>
        </w:rPr>
        <w:t>3</w:t>
      </w:r>
      <w:r>
        <w:rPr>
          <w:rFonts w:hint="eastAsia"/>
          <w:bCs/>
        </w:rPr>
        <w:t>k</w:t>
      </w:r>
      <w:r>
        <w:rPr>
          <w:bCs/>
        </w:rPr>
        <w:t>W</w:t>
      </w:r>
      <w:r>
        <w:rPr>
          <w:rFonts w:hint="eastAsia"/>
          <w:bCs/>
        </w:rPr>
        <w:t>。</w:t>
      </w:r>
    </w:p>
    <w:p w14:paraId="253772A5" w14:textId="77777777" w:rsidR="00622EE7" w:rsidRDefault="00E60909">
      <w:pPr>
        <w:spacing w:beforeLines="50" w:before="163" w:afterLines="50" w:after="163" w:line="360" w:lineRule="auto"/>
        <w:jc w:val="center"/>
        <w:outlineLvl w:val="1"/>
        <w:rPr>
          <w:rFonts w:ascii="Times New Roman" w:eastAsia="黑体" w:hAnsi="Times New Roman"/>
        </w:rPr>
      </w:pPr>
      <w:bookmarkStart w:id="70" w:name="_Toc182841376"/>
      <w:r>
        <w:rPr>
          <w:rFonts w:ascii="Times New Roman" w:eastAsia="黑体" w:hAnsi="Times New Roman" w:hint="eastAsia"/>
        </w:rPr>
        <w:t>1</w:t>
      </w:r>
      <w:r>
        <w:rPr>
          <w:rFonts w:ascii="Times New Roman" w:eastAsia="黑体" w:hAnsi="Times New Roman"/>
        </w:rPr>
        <w:t xml:space="preserve">1.3 </w:t>
      </w:r>
      <w:r>
        <w:rPr>
          <w:rFonts w:ascii="Times New Roman" w:eastAsia="黑体" w:hAnsi="Times New Roman" w:hint="eastAsia"/>
        </w:rPr>
        <w:t>照明</w:t>
      </w:r>
      <w:bookmarkEnd w:id="70"/>
    </w:p>
    <w:p w14:paraId="5B35D83D" w14:textId="77777777" w:rsidR="00622EE7" w:rsidRDefault="00E60909">
      <w:pPr>
        <w:pStyle w:val="af7"/>
        <w:numPr>
          <w:ilvl w:val="0"/>
          <w:numId w:val="45"/>
        </w:numPr>
        <w:spacing w:after="0" w:afterAutospacing="0"/>
        <w:ind w:left="0" w:firstLine="0"/>
        <w:rPr>
          <w:b w:val="0"/>
        </w:rPr>
      </w:pPr>
      <w:r>
        <w:rPr>
          <w:rFonts w:ascii="楷体" w:eastAsia="楷体" w:hAnsi="楷体" w:hint="eastAsia"/>
          <w:b w:val="0"/>
        </w:rPr>
        <w:t>【基础项】</w:t>
      </w:r>
      <w:r>
        <w:rPr>
          <w:rFonts w:hint="eastAsia"/>
          <w:b w:val="0"/>
        </w:rPr>
        <w:t>住宅建筑的门厅、前室、公共走道、楼梯间等应设置人工照明，应采用高效节能的照明装置、节能开关，并采取分区、定时、感应等节能措施。</w:t>
      </w:r>
    </w:p>
    <w:p w14:paraId="3BB5941F" w14:textId="77777777" w:rsidR="00622EE7" w:rsidRDefault="00E60909">
      <w:pPr>
        <w:pStyle w:val="af7"/>
        <w:numPr>
          <w:ilvl w:val="0"/>
          <w:numId w:val="45"/>
        </w:numPr>
        <w:spacing w:after="0" w:afterAutospacing="0"/>
        <w:ind w:left="0" w:firstLine="0"/>
        <w:rPr>
          <w:rFonts w:ascii="宋体" w:hAnsi="宋体"/>
          <w:b w:val="0"/>
        </w:rPr>
      </w:pPr>
      <w:r>
        <w:rPr>
          <w:rFonts w:ascii="楷体" w:eastAsia="楷体" w:hAnsi="楷体" w:hint="eastAsia"/>
          <w:b w:val="0"/>
        </w:rPr>
        <w:t>【品质项】</w:t>
      </w:r>
      <w:r>
        <w:rPr>
          <w:rFonts w:ascii="宋体" w:hAnsi="宋体"/>
          <w:b w:val="0"/>
        </w:rPr>
        <w:t>单元大堂（门厅）、走廊、楼梯间的照度</w:t>
      </w:r>
      <w:r>
        <w:rPr>
          <w:rFonts w:ascii="宋体" w:hAnsi="宋体" w:hint="eastAsia"/>
          <w:b w:val="0"/>
        </w:rPr>
        <w:t>应</w:t>
      </w:r>
      <w:r>
        <w:rPr>
          <w:rFonts w:ascii="宋体" w:hAnsi="宋体"/>
          <w:b w:val="0"/>
        </w:rPr>
        <w:t>分别不低于</w:t>
      </w:r>
      <w:r>
        <w:rPr>
          <w:rFonts w:ascii="宋体" w:hAnsi="宋体"/>
          <w:b w:val="0"/>
        </w:rPr>
        <w:t>200lx</w:t>
      </w:r>
      <w:r>
        <w:rPr>
          <w:rFonts w:ascii="宋体" w:hAnsi="宋体"/>
          <w:b w:val="0"/>
        </w:rPr>
        <w:t>、</w:t>
      </w:r>
      <w:r>
        <w:rPr>
          <w:rFonts w:ascii="宋体" w:hAnsi="宋体"/>
          <w:b w:val="0"/>
        </w:rPr>
        <w:t>150lx</w:t>
      </w:r>
      <w:r>
        <w:rPr>
          <w:rFonts w:ascii="宋体" w:hAnsi="宋体"/>
          <w:b w:val="0"/>
        </w:rPr>
        <w:t>、</w:t>
      </w:r>
      <w:r>
        <w:rPr>
          <w:rFonts w:ascii="宋体" w:hAnsi="宋体"/>
          <w:b w:val="0"/>
        </w:rPr>
        <w:t>100lx</w:t>
      </w:r>
      <w:r>
        <w:rPr>
          <w:rFonts w:ascii="宋体" w:hAnsi="宋体"/>
          <w:b w:val="0"/>
        </w:rPr>
        <w:t>。</w:t>
      </w:r>
    </w:p>
    <w:p w14:paraId="40003BAF" w14:textId="77777777" w:rsidR="00622EE7" w:rsidRDefault="00E60909">
      <w:pPr>
        <w:pStyle w:val="af8"/>
        <w:numPr>
          <w:ilvl w:val="0"/>
          <w:numId w:val="45"/>
        </w:numPr>
        <w:ind w:left="0" w:firstLine="0"/>
      </w:pPr>
      <w:r>
        <w:rPr>
          <w:rFonts w:ascii="楷体" w:eastAsia="楷体" w:hAnsi="楷体" w:hint="eastAsia"/>
        </w:rPr>
        <w:t>【品质项】</w:t>
      </w:r>
      <w:r>
        <w:rPr>
          <w:rFonts w:hint="eastAsia"/>
        </w:rPr>
        <w:t>住宅单元大堂（门厅）区域应选用合适的灯具，其位置、色温与室内风格和陈设相协调，营造适宜的光环境。</w:t>
      </w:r>
    </w:p>
    <w:p w14:paraId="63FE7AEB" w14:textId="77777777" w:rsidR="00622EE7" w:rsidRDefault="00E60909">
      <w:pPr>
        <w:pStyle w:val="af3"/>
        <w:numPr>
          <w:ilvl w:val="0"/>
          <w:numId w:val="45"/>
        </w:numPr>
        <w:spacing w:beforeLines="25" w:before="81"/>
        <w:ind w:left="0" w:firstLineChars="0" w:firstLine="0"/>
        <w:contextualSpacing/>
      </w:pPr>
      <w:r>
        <w:rPr>
          <w:rFonts w:ascii="楷体" w:eastAsia="楷体" w:hAnsi="楷体" w:hint="eastAsia"/>
        </w:rPr>
        <w:t>【基础项】</w:t>
      </w:r>
      <w:r>
        <w:rPr>
          <w:rFonts w:hint="eastAsia"/>
        </w:rPr>
        <w:t>夜景照明应采用可再生能源，可采用电网供电配合光伏混合供电，并应避免光</w:t>
      </w:r>
      <w:proofErr w:type="gramStart"/>
      <w:r>
        <w:rPr>
          <w:rFonts w:hint="eastAsia"/>
        </w:rPr>
        <w:t>伏板日间对</w:t>
      </w:r>
      <w:proofErr w:type="gramEnd"/>
      <w:r>
        <w:rPr>
          <w:rFonts w:hint="eastAsia"/>
        </w:rPr>
        <w:t>住宅居民和周边建筑产生光污染。</w:t>
      </w:r>
    </w:p>
    <w:p w14:paraId="34BE7B1D" w14:textId="77777777" w:rsidR="00622EE7" w:rsidRDefault="00E60909">
      <w:pPr>
        <w:pStyle w:val="af3"/>
        <w:numPr>
          <w:ilvl w:val="0"/>
          <w:numId w:val="45"/>
        </w:numPr>
        <w:spacing w:beforeLines="25" w:before="81"/>
        <w:ind w:left="0" w:firstLineChars="0" w:firstLine="0"/>
        <w:contextualSpacing/>
      </w:pPr>
      <w:r>
        <w:rPr>
          <w:rFonts w:ascii="楷体" w:eastAsia="楷体" w:hAnsi="楷体" w:hint="eastAsia"/>
        </w:rPr>
        <w:t>【品质项】</w:t>
      </w:r>
      <w:r>
        <w:rPr>
          <w:rFonts w:hint="eastAsia"/>
        </w:rPr>
        <w:t>夜景</w:t>
      </w:r>
      <w:r>
        <w:t>照明</w:t>
      </w:r>
      <w:r>
        <w:rPr>
          <w:rFonts w:hint="eastAsia"/>
        </w:rPr>
        <w:t>系统结合外立面、景观进行一体化设计，</w:t>
      </w:r>
      <w:r>
        <w:t>营造温</w:t>
      </w:r>
      <w:r>
        <w:t>馨浪漫的氛围</w:t>
      </w:r>
      <w:r>
        <w:rPr>
          <w:rFonts w:hint="eastAsia"/>
        </w:rPr>
        <w:t>。采用泛光照明时，应控制泛光照明投射范围，散射到被照面之外的溢散光不应超过</w:t>
      </w:r>
      <w:r>
        <w:rPr>
          <w:rFonts w:hint="eastAsia"/>
        </w:rPr>
        <w:t>20</w:t>
      </w:r>
      <w:r>
        <w:t>%</w:t>
      </w:r>
      <w:r>
        <w:rPr>
          <w:rFonts w:hint="eastAsia"/>
        </w:rPr>
        <w:t>。</w:t>
      </w:r>
    </w:p>
    <w:p w14:paraId="0A85D70A" w14:textId="77777777" w:rsidR="00622EE7" w:rsidRDefault="00E60909">
      <w:pPr>
        <w:pStyle w:val="af8"/>
        <w:numPr>
          <w:ilvl w:val="0"/>
          <w:numId w:val="45"/>
        </w:numPr>
        <w:ind w:left="0" w:firstLine="0"/>
      </w:pPr>
      <w:r>
        <w:rPr>
          <w:rFonts w:ascii="楷体" w:eastAsia="楷体" w:hAnsi="楷体" w:hint="eastAsia"/>
        </w:rPr>
        <w:t>【品质项】</w:t>
      </w:r>
      <w:r>
        <w:rPr>
          <w:rFonts w:hint="eastAsia"/>
        </w:rPr>
        <w:t>车库、室外道路、景观等照明应采用智能照明控制系统。系统</w:t>
      </w:r>
      <w:r>
        <w:t>应具备场景设置功能，能够根据不同的场合和需求，快速切换不同的照明模式。</w:t>
      </w:r>
    </w:p>
    <w:p w14:paraId="4B974365" w14:textId="77777777" w:rsidR="00622EE7" w:rsidRDefault="00E60909">
      <w:pPr>
        <w:spacing w:beforeLines="50" w:before="163" w:afterLines="50" w:after="163" w:line="360" w:lineRule="auto"/>
        <w:jc w:val="center"/>
        <w:outlineLvl w:val="1"/>
        <w:rPr>
          <w:rFonts w:ascii="Times New Roman" w:eastAsia="黑体" w:hAnsi="Times New Roman"/>
        </w:rPr>
      </w:pPr>
      <w:bookmarkStart w:id="71" w:name="_Toc182841377"/>
      <w:r>
        <w:rPr>
          <w:rFonts w:ascii="Times New Roman" w:eastAsia="黑体" w:hAnsi="Times New Roman" w:hint="eastAsia"/>
        </w:rPr>
        <w:t>1</w:t>
      </w:r>
      <w:r>
        <w:rPr>
          <w:rFonts w:ascii="Times New Roman" w:eastAsia="黑体" w:hAnsi="Times New Roman"/>
        </w:rPr>
        <w:t xml:space="preserve">1.4 </w:t>
      </w:r>
      <w:r>
        <w:rPr>
          <w:rFonts w:ascii="Times New Roman" w:eastAsia="黑体" w:hAnsi="Times New Roman" w:hint="eastAsia"/>
        </w:rPr>
        <w:t>智慧安防</w:t>
      </w:r>
      <w:bookmarkEnd w:id="71"/>
    </w:p>
    <w:p w14:paraId="05014C57" w14:textId="77777777" w:rsidR="00622EE7" w:rsidRDefault="00E60909">
      <w:pPr>
        <w:pStyle w:val="af8"/>
        <w:numPr>
          <w:ilvl w:val="0"/>
          <w:numId w:val="46"/>
        </w:numPr>
        <w:ind w:left="0" w:firstLine="0"/>
      </w:pPr>
      <w:r>
        <w:rPr>
          <w:rFonts w:ascii="楷体" w:eastAsia="楷体" w:hAnsi="楷体" w:hint="eastAsia"/>
        </w:rPr>
        <w:t>【基础项】</w:t>
      </w:r>
      <w:r>
        <w:rPr>
          <w:rFonts w:hint="eastAsia"/>
        </w:rPr>
        <w:t>高品质住宅小区应配设安全防护数字化管理系统，合理配备相应智能化安防设施，实现对视频监控、报警管理、电子地图、车辆管理、门禁管理、访客管理、巡更管理、紧急呼叫系统的集成管理功能。</w:t>
      </w:r>
    </w:p>
    <w:p w14:paraId="1DDA667F" w14:textId="77777777" w:rsidR="00622EE7" w:rsidRDefault="00E60909">
      <w:pPr>
        <w:pStyle w:val="af8"/>
        <w:numPr>
          <w:ilvl w:val="0"/>
          <w:numId w:val="46"/>
        </w:numPr>
        <w:ind w:left="0" w:firstLine="0"/>
      </w:pPr>
      <w:r>
        <w:rPr>
          <w:rFonts w:ascii="楷体" w:eastAsia="楷体" w:hAnsi="楷体" w:hint="eastAsia"/>
        </w:rPr>
        <w:t>【基础项</w:t>
      </w:r>
      <w:r>
        <w:rPr>
          <w:rFonts w:hint="eastAsia"/>
        </w:rPr>
        <w:t>】小区出入口、单元出入口应安装智能门禁等系统</w:t>
      </w:r>
      <w:r>
        <w:rPr>
          <w:rFonts w:hint="eastAsia"/>
          <w:b/>
        </w:rPr>
        <w:t>。</w:t>
      </w:r>
      <w:r>
        <w:rPr>
          <w:rFonts w:hint="eastAsia"/>
        </w:rPr>
        <w:t>应设楼宇对讲、紧急报警等智能化设施，并集成</w:t>
      </w:r>
      <w:r>
        <w:t>呼叫、楼宇对讲、监视</w:t>
      </w:r>
      <w:r>
        <w:rPr>
          <w:rFonts w:hint="eastAsia"/>
        </w:rPr>
        <w:t>、紧急报警</w:t>
      </w:r>
      <w:r>
        <w:t>等功能</w:t>
      </w:r>
      <w:r>
        <w:rPr>
          <w:rFonts w:hint="eastAsia"/>
        </w:rPr>
        <w:t>。</w:t>
      </w:r>
    </w:p>
    <w:p w14:paraId="5E9AD526" w14:textId="77777777" w:rsidR="00622EE7" w:rsidRDefault="00E60909">
      <w:pPr>
        <w:pStyle w:val="af8"/>
        <w:numPr>
          <w:ilvl w:val="0"/>
          <w:numId w:val="46"/>
        </w:numPr>
        <w:ind w:left="0" w:firstLine="0"/>
      </w:pPr>
      <w:r>
        <w:rPr>
          <w:rFonts w:ascii="楷体" w:eastAsia="楷体" w:hAnsi="楷体" w:hint="eastAsia"/>
        </w:rPr>
        <w:t>【品质项】</w:t>
      </w:r>
      <w:r>
        <w:rPr>
          <w:rFonts w:hint="eastAsia"/>
        </w:rPr>
        <w:t>小区应安装周界入侵报警设施，有条件时宜在小区周界区域安装智能警戒摄像机。</w:t>
      </w:r>
    </w:p>
    <w:p w14:paraId="74F009CA" w14:textId="77777777" w:rsidR="00622EE7" w:rsidRDefault="00E60909">
      <w:pPr>
        <w:pStyle w:val="af8"/>
        <w:numPr>
          <w:ilvl w:val="0"/>
          <w:numId w:val="46"/>
        </w:numPr>
        <w:ind w:left="0" w:firstLine="0"/>
        <w:rPr>
          <w:rFonts w:ascii="楷体" w:eastAsia="楷体" w:hAnsi="楷体"/>
        </w:rPr>
      </w:pPr>
      <w:r>
        <w:rPr>
          <w:rFonts w:ascii="楷体" w:eastAsia="楷体" w:hAnsi="楷体" w:hint="eastAsia"/>
        </w:rPr>
        <w:t>【提升项】</w:t>
      </w:r>
      <w:proofErr w:type="gramStart"/>
      <w:r>
        <w:rPr>
          <w:rFonts w:hint="eastAsia"/>
        </w:rPr>
        <w:t>宜合理</w:t>
      </w:r>
      <w:proofErr w:type="gramEnd"/>
      <w:r>
        <w:rPr>
          <w:rFonts w:hint="eastAsia"/>
        </w:rPr>
        <w:t>设置高空抛物智能监控系统。</w:t>
      </w:r>
    </w:p>
    <w:p w14:paraId="37B4754E" w14:textId="77777777" w:rsidR="00622EE7" w:rsidRDefault="00E60909">
      <w:pPr>
        <w:pStyle w:val="af8"/>
        <w:numPr>
          <w:ilvl w:val="0"/>
          <w:numId w:val="46"/>
        </w:numPr>
        <w:ind w:left="0" w:firstLine="0"/>
        <w:rPr>
          <w:rFonts w:ascii="楷体" w:eastAsia="楷体" w:hAnsi="楷体"/>
        </w:rPr>
      </w:pPr>
      <w:r>
        <w:rPr>
          <w:rFonts w:ascii="楷体" w:eastAsia="楷体" w:hAnsi="楷体" w:hint="eastAsia"/>
        </w:rPr>
        <w:lastRenderedPageBreak/>
        <w:t>【提升项】</w:t>
      </w:r>
      <w:r>
        <w:rPr>
          <w:rFonts w:hint="eastAsia"/>
        </w:rPr>
        <w:t>宜在主入口、主干道路安装抓拍装置；车辆道</w:t>
      </w:r>
      <w:proofErr w:type="gramStart"/>
      <w:r>
        <w:rPr>
          <w:rFonts w:hint="eastAsia"/>
        </w:rPr>
        <w:t>闸系统</w:t>
      </w:r>
      <w:proofErr w:type="gramEnd"/>
      <w:r>
        <w:rPr>
          <w:rFonts w:hint="eastAsia"/>
        </w:rPr>
        <w:t>应具备黑白名单</w:t>
      </w:r>
      <w:r>
        <w:rPr>
          <w:rFonts w:hint="eastAsia"/>
        </w:rPr>
        <w:t>库，并同步联动平台形成报警信息，有条件时宜设置车辆监测设施。</w:t>
      </w:r>
    </w:p>
    <w:p w14:paraId="210512F8" w14:textId="77777777" w:rsidR="00622EE7" w:rsidRDefault="00E60909">
      <w:pPr>
        <w:pStyle w:val="af8"/>
        <w:numPr>
          <w:ilvl w:val="0"/>
          <w:numId w:val="46"/>
        </w:numPr>
        <w:ind w:left="0" w:firstLine="0"/>
      </w:pPr>
      <w:r>
        <w:rPr>
          <w:rFonts w:ascii="楷体" w:eastAsia="楷体" w:hAnsi="楷体" w:hint="eastAsia"/>
        </w:rPr>
        <w:t>【提升项】</w:t>
      </w:r>
      <w:proofErr w:type="gramStart"/>
      <w:r>
        <w:rPr>
          <w:rFonts w:hint="eastAsia"/>
        </w:rPr>
        <w:t>入户门宜配置</w:t>
      </w:r>
      <w:proofErr w:type="gramEnd"/>
      <w:r>
        <w:rPr>
          <w:rFonts w:hint="eastAsia"/>
        </w:rPr>
        <w:t>智能门锁，并宜通过智能门磁、红外幕帘等设备实现门窗、户内周界状态监测。</w:t>
      </w:r>
    </w:p>
    <w:p w14:paraId="5AB58191" w14:textId="77777777" w:rsidR="00622EE7" w:rsidRDefault="00E60909">
      <w:pPr>
        <w:spacing w:beforeLines="50" w:before="163" w:afterLines="50" w:after="163" w:line="360" w:lineRule="auto"/>
        <w:jc w:val="center"/>
        <w:outlineLvl w:val="1"/>
        <w:rPr>
          <w:rFonts w:ascii="Times New Roman" w:eastAsia="黑体" w:hAnsi="Times New Roman"/>
        </w:rPr>
      </w:pPr>
      <w:bookmarkStart w:id="72" w:name="_Toc182841378"/>
      <w:r>
        <w:rPr>
          <w:rFonts w:ascii="Times New Roman" w:eastAsia="黑体" w:hAnsi="Times New Roman" w:hint="eastAsia"/>
        </w:rPr>
        <w:t>1</w:t>
      </w:r>
      <w:r>
        <w:rPr>
          <w:rFonts w:ascii="Times New Roman" w:eastAsia="黑体" w:hAnsi="Times New Roman"/>
        </w:rPr>
        <w:t xml:space="preserve">1.5 </w:t>
      </w:r>
      <w:r>
        <w:rPr>
          <w:rFonts w:ascii="Times New Roman" w:eastAsia="黑体" w:hAnsi="Times New Roman" w:hint="eastAsia"/>
        </w:rPr>
        <w:t>数字家庭</w:t>
      </w:r>
      <w:bookmarkEnd w:id="72"/>
    </w:p>
    <w:p w14:paraId="003890D7" w14:textId="77777777" w:rsidR="00622EE7" w:rsidRDefault="00E60909">
      <w:pPr>
        <w:pStyle w:val="af3"/>
        <w:numPr>
          <w:ilvl w:val="0"/>
          <w:numId w:val="47"/>
        </w:numPr>
        <w:ind w:left="0" w:firstLineChars="0" w:firstLine="0"/>
        <w:rPr>
          <w:rFonts w:ascii="楷体" w:eastAsia="楷体" w:hAnsi="楷体"/>
        </w:rPr>
      </w:pPr>
      <w:r>
        <w:rPr>
          <w:rFonts w:ascii="楷体" w:eastAsia="楷体" w:hAnsi="楷体" w:hint="eastAsia"/>
        </w:rPr>
        <w:t>【基础项】</w:t>
      </w:r>
      <w:r>
        <w:rPr>
          <w:rFonts w:ascii="宋体" w:hAnsi="宋体" w:hint="eastAsia"/>
        </w:rPr>
        <w:t>智能化系统相关设施，如管理中心、弱电间、管道井、预埋线管和线槽、桥架等详细技术要求应在施工图中明确。住宅建筑的通信设施应采用光缆到户方式。公共移动通信信号应能覆盖</w:t>
      </w:r>
      <w:proofErr w:type="gramStart"/>
      <w:r>
        <w:rPr>
          <w:rFonts w:ascii="宋体" w:hAnsi="宋体" w:hint="eastAsia"/>
        </w:rPr>
        <w:t>至住宅</w:t>
      </w:r>
      <w:proofErr w:type="gramEnd"/>
      <w:r>
        <w:rPr>
          <w:rFonts w:ascii="宋体" w:hAnsi="宋体" w:hint="eastAsia"/>
        </w:rPr>
        <w:t>建筑的公共空间、电梯轿厢内和地下车库。</w:t>
      </w:r>
    </w:p>
    <w:p w14:paraId="15193092" w14:textId="77777777" w:rsidR="00622EE7" w:rsidRDefault="00E60909">
      <w:pPr>
        <w:pStyle w:val="af8"/>
        <w:numPr>
          <w:ilvl w:val="0"/>
          <w:numId w:val="47"/>
        </w:numPr>
        <w:ind w:left="0" w:firstLine="0"/>
      </w:pPr>
      <w:r>
        <w:rPr>
          <w:rFonts w:ascii="楷体" w:eastAsia="楷体" w:hAnsi="楷体" w:hint="eastAsia"/>
        </w:rPr>
        <w:t>【基础项】</w:t>
      </w:r>
      <w:r>
        <w:t>住宅室内线路敷设设计时，</w:t>
      </w:r>
      <w:r>
        <w:rPr>
          <w:rFonts w:hint="eastAsia"/>
        </w:rPr>
        <w:t>应</w:t>
      </w:r>
      <w:r>
        <w:t>提前</w:t>
      </w:r>
      <w:r>
        <w:rPr>
          <w:rFonts w:hint="eastAsia"/>
        </w:rPr>
        <w:t>进行装修设计，</w:t>
      </w:r>
      <w:r>
        <w:t>包括空间划分、家具布置、造型吊顶设计以及厨卫电器位置后，进行线路</w:t>
      </w:r>
      <w:r>
        <w:t>敷设设计</w:t>
      </w:r>
      <w:r>
        <w:rPr>
          <w:rFonts w:hint="eastAsia"/>
        </w:rPr>
        <w:t>。</w:t>
      </w:r>
    </w:p>
    <w:p w14:paraId="026907D1" w14:textId="77777777" w:rsidR="00622EE7" w:rsidRDefault="00E60909">
      <w:pPr>
        <w:pStyle w:val="af3"/>
        <w:numPr>
          <w:ilvl w:val="0"/>
          <w:numId w:val="47"/>
        </w:numPr>
        <w:ind w:left="0" w:firstLineChars="0" w:firstLine="0"/>
      </w:pPr>
      <w:r>
        <w:rPr>
          <w:rFonts w:ascii="楷体" w:eastAsia="楷体" w:hAnsi="楷体"/>
        </w:rPr>
        <w:t>【</w:t>
      </w:r>
      <w:r>
        <w:rPr>
          <w:rFonts w:ascii="楷体" w:eastAsia="楷体" w:hAnsi="楷体" w:hint="eastAsia"/>
        </w:rPr>
        <w:t>品质项</w:t>
      </w:r>
      <w:r>
        <w:rPr>
          <w:rFonts w:ascii="楷体" w:eastAsia="楷体" w:hAnsi="楷体"/>
        </w:rPr>
        <w:t>】</w:t>
      </w:r>
      <w:r>
        <w:rPr>
          <w:rFonts w:hint="eastAsia"/>
        </w:rPr>
        <w:t>非全装修交付的住宅应为智能化系统设备、管线预留必要的安装条件，弱电箱、开关处零线敷设、预留到位，并预留智能网关的供电电源。</w:t>
      </w:r>
    </w:p>
    <w:p w14:paraId="125D964E" w14:textId="77777777" w:rsidR="00622EE7" w:rsidRDefault="00E60909">
      <w:pPr>
        <w:pStyle w:val="af8"/>
        <w:numPr>
          <w:ilvl w:val="0"/>
          <w:numId w:val="47"/>
        </w:numPr>
        <w:ind w:left="0" w:firstLine="0"/>
      </w:pPr>
      <w:r>
        <w:rPr>
          <w:rFonts w:ascii="楷体" w:eastAsia="楷体" w:hAnsi="楷体"/>
        </w:rPr>
        <w:t>【</w:t>
      </w:r>
      <w:r>
        <w:rPr>
          <w:rFonts w:ascii="楷体" w:eastAsia="楷体" w:hAnsi="楷体" w:hint="eastAsia"/>
        </w:rPr>
        <w:t>品质项</w:t>
      </w:r>
      <w:r>
        <w:rPr>
          <w:rFonts w:ascii="楷体" w:eastAsia="楷体" w:hAnsi="楷体"/>
        </w:rPr>
        <w:t>】</w:t>
      </w:r>
      <w:r>
        <w:rPr>
          <w:rFonts w:ascii="宋体" w:hAnsi="宋体" w:hint="eastAsia"/>
        </w:rPr>
        <w:t>当住宅非全装修交付时</w:t>
      </w:r>
      <w:r>
        <w:rPr>
          <w:rFonts w:hint="eastAsia"/>
        </w:rPr>
        <w:t>，灯具、插座点位应考虑家具位置并与之协调，户内电气插座的位置高度应按照装修完成地面设置，卫生间内应设置智能马桶预留插座，窗帘处应设置电动窗帘插座，厨房台面或</w:t>
      </w:r>
      <w:proofErr w:type="gramStart"/>
      <w:r>
        <w:rPr>
          <w:rFonts w:hint="eastAsia"/>
        </w:rPr>
        <w:t>餐边柜台</w:t>
      </w:r>
      <w:proofErr w:type="gramEnd"/>
      <w:r>
        <w:rPr>
          <w:rFonts w:hint="eastAsia"/>
        </w:rPr>
        <w:t>面上方的点位应远离灶具并不少于</w:t>
      </w:r>
      <w:r>
        <w:rPr>
          <w:rFonts w:hint="eastAsia"/>
        </w:rPr>
        <w:t>3</w:t>
      </w:r>
      <w:r>
        <w:rPr>
          <w:rFonts w:hint="eastAsia"/>
        </w:rPr>
        <w:t>个。</w:t>
      </w:r>
    </w:p>
    <w:p w14:paraId="2B5BEEE9" w14:textId="77777777" w:rsidR="00622EE7" w:rsidRDefault="00E60909">
      <w:pPr>
        <w:pStyle w:val="af8"/>
        <w:numPr>
          <w:ilvl w:val="0"/>
          <w:numId w:val="47"/>
        </w:numPr>
        <w:ind w:left="0" w:firstLine="0"/>
        <w:rPr>
          <w:rFonts w:ascii="楷体" w:eastAsia="楷体" w:hAnsi="楷体"/>
          <w:b/>
        </w:rPr>
      </w:pPr>
      <w:r>
        <w:rPr>
          <w:rFonts w:ascii="楷体" w:eastAsia="楷体" w:hAnsi="楷体"/>
        </w:rPr>
        <w:t>【</w:t>
      </w:r>
      <w:r>
        <w:rPr>
          <w:rFonts w:ascii="楷体" w:eastAsia="楷体" w:hAnsi="楷体" w:hint="eastAsia"/>
        </w:rPr>
        <w:t>品质项</w:t>
      </w:r>
      <w:r>
        <w:rPr>
          <w:rFonts w:ascii="楷体" w:eastAsia="楷体" w:hAnsi="楷体"/>
        </w:rPr>
        <w:t>】</w:t>
      </w:r>
      <w:r>
        <w:rPr>
          <w:rFonts w:ascii="宋体" w:hAnsi="宋体" w:hint="eastAsia"/>
        </w:rPr>
        <w:t>起居室</w:t>
      </w:r>
      <w:r>
        <w:rPr>
          <w:rFonts w:hint="eastAsia"/>
        </w:rPr>
        <w:t>（厅）</w:t>
      </w:r>
      <w:r>
        <w:rPr>
          <w:rFonts w:ascii="宋体" w:hAnsi="宋体" w:hint="eastAsia"/>
        </w:rPr>
        <w:t>、卧室、书房应设置网络插座</w:t>
      </w:r>
      <w:r>
        <w:rPr>
          <w:rFonts w:ascii="宋体" w:hAnsi="宋体" w:hint="eastAsia"/>
        </w:rPr>
        <w:t>,</w:t>
      </w:r>
      <w:r>
        <w:rPr>
          <w:rFonts w:hint="eastAsia"/>
        </w:rPr>
        <w:t>且起居室（厅）、卧室、老人房应设置有线电视插座</w:t>
      </w:r>
      <w:r>
        <w:rPr>
          <w:rFonts w:ascii="宋体" w:hAnsi="宋体" w:hint="eastAsia"/>
        </w:rPr>
        <w:t>。</w:t>
      </w:r>
    </w:p>
    <w:p w14:paraId="00E922A4" w14:textId="77777777" w:rsidR="00622EE7" w:rsidRDefault="00E60909">
      <w:pPr>
        <w:pStyle w:val="af8"/>
        <w:numPr>
          <w:ilvl w:val="0"/>
          <w:numId w:val="47"/>
        </w:numPr>
        <w:ind w:left="0" w:firstLine="0"/>
        <w:rPr>
          <w:b/>
        </w:rPr>
      </w:pPr>
      <w:r>
        <w:rPr>
          <w:rFonts w:ascii="楷体" w:eastAsia="楷体" w:hAnsi="楷体"/>
        </w:rPr>
        <w:t>【</w:t>
      </w:r>
      <w:r>
        <w:rPr>
          <w:rFonts w:ascii="楷体" w:eastAsia="楷体" w:hAnsi="楷体" w:hint="eastAsia"/>
        </w:rPr>
        <w:t>品质项</w:t>
      </w:r>
      <w:r>
        <w:rPr>
          <w:rFonts w:ascii="楷体" w:eastAsia="楷体" w:hAnsi="楷体"/>
        </w:rPr>
        <w:t>】</w:t>
      </w:r>
      <w:r>
        <w:rPr>
          <w:rFonts w:hint="eastAsia"/>
        </w:rPr>
        <w:t>住宅厨房内应设置可燃气体探测器</w:t>
      </w:r>
      <w:r>
        <w:t>,</w:t>
      </w:r>
      <w:r>
        <w:rPr>
          <w:rFonts w:hint="eastAsia"/>
        </w:rPr>
        <w:t>并可远程监测。</w:t>
      </w:r>
    </w:p>
    <w:p w14:paraId="0AE2A9E6" w14:textId="77777777" w:rsidR="00622EE7" w:rsidRDefault="00E60909">
      <w:pPr>
        <w:pStyle w:val="af8"/>
        <w:numPr>
          <w:ilvl w:val="0"/>
          <w:numId w:val="47"/>
        </w:numPr>
        <w:ind w:left="0" w:firstLine="0"/>
        <w:rPr>
          <w:rFonts w:ascii="宋体" w:hAnsi="宋体"/>
        </w:rPr>
      </w:pPr>
      <w:r>
        <w:rPr>
          <w:rFonts w:ascii="楷体" w:eastAsia="楷体" w:hAnsi="楷体"/>
        </w:rPr>
        <w:t>【</w:t>
      </w:r>
      <w:r>
        <w:rPr>
          <w:rFonts w:ascii="楷体" w:eastAsia="楷体" w:hAnsi="楷体" w:hint="eastAsia"/>
        </w:rPr>
        <w:t>创新项</w:t>
      </w:r>
      <w:r>
        <w:rPr>
          <w:rFonts w:ascii="楷体" w:eastAsia="楷体" w:hAnsi="楷体"/>
        </w:rPr>
        <w:t>】</w:t>
      </w:r>
      <w:r>
        <w:rPr>
          <w:rFonts w:ascii="宋体" w:hAnsi="宋体" w:hint="eastAsia"/>
        </w:rPr>
        <w:t>当住宅全装修交付时，开关、插座的点位</w:t>
      </w:r>
      <w:proofErr w:type="gramStart"/>
      <w:r>
        <w:rPr>
          <w:rFonts w:ascii="宋体" w:hAnsi="宋体" w:hint="eastAsia"/>
        </w:rPr>
        <w:t>宜满足</w:t>
      </w:r>
      <w:proofErr w:type="gramEnd"/>
      <w:r>
        <w:rPr>
          <w:rFonts w:ascii="宋体" w:hAnsi="宋体" w:hint="eastAsia"/>
        </w:rPr>
        <w:t>下列要求：</w:t>
      </w:r>
      <w:r>
        <w:rPr>
          <w:rFonts w:ascii="宋体" w:hAnsi="宋体"/>
        </w:rPr>
        <w:t xml:space="preserve"> </w:t>
      </w:r>
    </w:p>
    <w:p w14:paraId="349C9880" w14:textId="77777777" w:rsidR="00622EE7" w:rsidRDefault="00E60909">
      <w:pPr>
        <w:pStyle w:val="af8"/>
        <w:numPr>
          <w:ilvl w:val="0"/>
          <w:numId w:val="48"/>
        </w:numPr>
        <w:ind w:left="0" w:firstLineChars="200" w:firstLine="480"/>
      </w:pPr>
      <w:r>
        <w:rPr>
          <w:rFonts w:hint="eastAsia"/>
        </w:rPr>
        <w:t>卫生间内应设置智能马桶插座、窗帘处应设置电动窗帘插座，厨房台面或</w:t>
      </w:r>
      <w:proofErr w:type="gramStart"/>
      <w:r>
        <w:rPr>
          <w:rFonts w:hint="eastAsia"/>
        </w:rPr>
        <w:t>餐边柜台</w:t>
      </w:r>
      <w:proofErr w:type="gramEnd"/>
      <w:r>
        <w:rPr>
          <w:rFonts w:hint="eastAsia"/>
        </w:rPr>
        <w:t>面上方的点位应远离灶具并不少于</w:t>
      </w:r>
      <w:r>
        <w:rPr>
          <w:rFonts w:hint="eastAsia"/>
        </w:rPr>
        <w:t>3</w:t>
      </w:r>
      <w:r>
        <w:rPr>
          <w:rFonts w:hint="eastAsia"/>
        </w:rPr>
        <w:t>个；</w:t>
      </w:r>
    </w:p>
    <w:p w14:paraId="76933176" w14:textId="77777777" w:rsidR="00622EE7" w:rsidRDefault="00E60909">
      <w:pPr>
        <w:pStyle w:val="af8"/>
        <w:numPr>
          <w:ilvl w:val="0"/>
          <w:numId w:val="48"/>
        </w:numPr>
        <w:ind w:left="0" w:firstLineChars="200" w:firstLine="480"/>
        <w:rPr>
          <w:rFonts w:ascii="楷体" w:eastAsia="楷体" w:hAnsi="楷体"/>
          <w:b/>
        </w:rPr>
      </w:pPr>
      <w:r>
        <w:rPr>
          <w:rFonts w:hint="eastAsia"/>
        </w:rPr>
        <w:t>套内起居厅、卧室插座宜采用带有</w:t>
      </w:r>
      <w:r>
        <w:t>USB</w:t>
      </w:r>
      <w:r>
        <w:rPr>
          <w:rFonts w:hint="eastAsia"/>
        </w:rPr>
        <w:t>、</w:t>
      </w:r>
      <w:r>
        <w:rPr>
          <w:rFonts w:hint="eastAsia"/>
        </w:rPr>
        <w:t xml:space="preserve">Type </w:t>
      </w:r>
      <w:r>
        <w:t>A</w:t>
      </w:r>
      <w:r>
        <w:rPr>
          <w:rFonts w:hint="eastAsia"/>
        </w:rPr>
        <w:t>、</w:t>
      </w:r>
      <w:r>
        <w:rPr>
          <w:rFonts w:hint="eastAsia"/>
        </w:rPr>
        <w:t xml:space="preserve">Type </w:t>
      </w:r>
      <w:r>
        <w:t>C</w:t>
      </w:r>
      <w:r>
        <w:rPr>
          <w:rFonts w:hint="eastAsia"/>
        </w:rPr>
        <w:t>等</w:t>
      </w:r>
      <w:r>
        <w:t>接口的组合插座</w:t>
      </w:r>
      <w:r>
        <w:rPr>
          <w:rFonts w:hint="eastAsia"/>
        </w:rPr>
        <w:t>；</w:t>
      </w:r>
    </w:p>
    <w:p w14:paraId="07DD84F4" w14:textId="77777777" w:rsidR="00622EE7" w:rsidRDefault="00E60909">
      <w:pPr>
        <w:pStyle w:val="af8"/>
        <w:numPr>
          <w:ilvl w:val="0"/>
          <w:numId w:val="48"/>
        </w:numPr>
        <w:ind w:left="0" w:firstLineChars="200" w:firstLine="480"/>
      </w:pPr>
      <w:r>
        <w:t>起居室（厅）、通道和卫生间照明开关，</w:t>
      </w:r>
      <w:r>
        <w:rPr>
          <w:rFonts w:hint="eastAsia"/>
        </w:rPr>
        <w:t>应</w:t>
      </w:r>
      <w:r>
        <w:t>选用夜间有光显示</w:t>
      </w:r>
      <w:r>
        <w:rPr>
          <w:rFonts w:hint="eastAsia"/>
        </w:rPr>
        <w:t>的产品；</w:t>
      </w:r>
    </w:p>
    <w:p w14:paraId="584230EC" w14:textId="77777777" w:rsidR="00622EE7" w:rsidRDefault="00E60909">
      <w:pPr>
        <w:pStyle w:val="af8"/>
        <w:numPr>
          <w:ilvl w:val="0"/>
          <w:numId w:val="48"/>
        </w:numPr>
        <w:ind w:left="0" w:firstLineChars="200" w:firstLine="480"/>
      </w:pPr>
      <w:r>
        <w:rPr>
          <w:rFonts w:hint="eastAsia"/>
        </w:rPr>
        <w:t>卧室设双控开关，或采用应有自动断电和设定时间自动断电功能的智能家居设备。</w:t>
      </w:r>
    </w:p>
    <w:p w14:paraId="7E5BB4FB" w14:textId="77777777" w:rsidR="00622EE7" w:rsidRDefault="00E60909">
      <w:pPr>
        <w:pStyle w:val="af8"/>
        <w:numPr>
          <w:ilvl w:val="0"/>
          <w:numId w:val="47"/>
        </w:numPr>
        <w:ind w:left="0" w:firstLine="0"/>
        <w:rPr>
          <w:rFonts w:ascii="宋体" w:hAnsi="宋体"/>
        </w:rPr>
      </w:pPr>
      <w:r>
        <w:rPr>
          <w:rFonts w:ascii="楷体" w:eastAsia="楷体" w:hAnsi="楷体" w:hint="eastAsia"/>
        </w:rPr>
        <w:lastRenderedPageBreak/>
        <w:t>【品质项】</w:t>
      </w:r>
      <w:r>
        <w:rPr>
          <w:rFonts w:ascii="宋体" w:hAnsi="宋体"/>
        </w:rPr>
        <w:t>在日间照料中心等老年人活动集中的配套设施内配备智能化设施，如照明选用智能开关、卫生间和通道等处应设置低度照明或感应式照明设施、入口处</w:t>
      </w:r>
      <w:r>
        <w:rPr>
          <w:rFonts w:ascii="宋体" w:hAnsi="宋体" w:hint="eastAsia"/>
        </w:rPr>
        <w:t>应</w:t>
      </w:r>
      <w:r>
        <w:rPr>
          <w:rFonts w:ascii="宋体" w:hAnsi="宋体"/>
        </w:rPr>
        <w:t>设置声控识别系统。</w:t>
      </w:r>
    </w:p>
    <w:p w14:paraId="1F3B0CED" w14:textId="77777777" w:rsidR="00622EE7" w:rsidRDefault="00E60909">
      <w:pPr>
        <w:pStyle w:val="1"/>
      </w:pPr>
      <w:bookmarkStart w:id="73" w:name="_Toc182841379"/>
      <w:r>
        <w:lastRenderedPageBreak/>
        <w:t xml:space="preserve">12 </w:t>
      </w:r>
      <w:r>
        <w:rPr>
          <w:rFonts w:hint="eastAsia"/>
        </w:rPr>
        <w:t xml:space="preserve"> </w:t>
      </w:r>
      <w:r>
        <w:rPr>
          <w:rFonts w:hint="eastAsia"/>
        </w:rPr>
        <w:t>运维和服</w:t>
      </w:r>
      <w:r>
        <w:rPr>
          <w:rFonts w:hint="eastAsia"/>
        </w:rPr>
        <w:t>务</w:t>
      </w:r>
      <w:bookmarkEnd w:id="73"/>
    </w:p>
    <w:p w14:paraId="376BB0CC" w14:textId="77777777" w:rsidR="00622EE7" w:rsidRDefault="00E60909">
      <w:pPr>
        <w:spacing w:beforeLines="50" w:before="163" w:afterLines="50" w:after="163" w:line="360" w:lineRule="auto"/>
        <w:jc w:val="center"/>
        <w:outlineLvl w:val="1"/>
        <w:rPr>
          <w:rFonts w:ascii="Times New Roman" w:eastAsia="黑体" w:hAnsi="Times New Roman"/>
        </w:rPr>
      </w:pPr>
      <w:bookmarkStart w:id="74" w:name="_Toc182841380"/>
      <w:r>
        <w:rPr>
          <w:rFonts w:ascii="Times New Roman" w:eastAsia="黑体" w:hAnsi="Times New Roman"/>
        </w:rPr>
        <w:t xml:space="preserve">12.1 </w:t>
      </w:r>
      <w:r>
        <w:rPr>
          <w:rFonts w:ascii="Times New Roman" w:eastAsia="黑体" w:hAnsi="Times New Roman" w:hint="eastAsia"/>
        </w:rPr>
        <w:t>日常维护与服务</w:t>
      </w:r>
      <w:bookmarkEnd w:id="74"/>
    </w:p>
    <w:p w14:paraId="2B3B1DE3"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t>高品质住宅小区应引入专业化物业服务，</w:t>
      </w:r>
      <w:r>
        <w:rPr>
          <w:rFonts w:hint="eastAsia"/>
        </w:rPr>
        <w:t>并应遵循《内蒙古自治区物业管理条例》的要求。物业服务项目应制定房屋使用、车辆出入和停放、装饰装修、电梯使用、宠物管理等公众制度，</w:t>
      </w:r>
      <w:r>
        <w:t>并向居民进行公示，接受业主监督。</w:t>
      </w:r>
      <w:r>
        <w:rPr>
          <w:rFonts w:hint="eastAsia"/>
        </w:rPr>
        <w:t>有完整完善的物业服务工作记录。</w:t>
      </w:r>
    </w:p>
    <w:p w14:paraId="3E3143A7" w14:textId="77777777" w:rsidR="00622EE7" w:rsidRDefault="00E60909">
      <w:pPr>
        <w:pStyle w:val="af3"/>
        <w:numPr>
          <w:ilvl w:val="0"/>
          <w:numId w:val="49"/>
        </w:numPr>
        <w:ind w:left="0" w:firstLineChars="0" w:firstLine="0"/>
        <w:contextualSpacing/>
      </w:pPr>
      <w:r>
        <w:rPr>
          <w:rFonts w:ascii="楷体" w:eastAsia="楷体" w:hAnsi="楷体" w:hint="eastAsia"/>
        </w:rPr>
        <w:t>【品质项】</w:t>
      </w:r>
      <w:r>
        <w:rPr>
          <w:rFonts w:hint="eastAsia"/>
        </w:rPr>
        <w:t>物业服务应</w:t>
      </w:r>
      <w:r>
        <w:t>建立</w:t>
      </w:r>
      <w:r>
        <w:t>24</w:t>
      </w:r>
      <w:r>
        <w:t>小时值班制度，</w:t>
      </w:r>
      <w:r>
        <w:rPr>
          <w:rFonts w:hint="eastAsia"/>
        </w:rPr>
        <w:t>为用户提供咨询、缴费、报修、受理投诉等各类服务；应</w:t>
      </w:r>
      <w:r>
        <w:t>建立并落实便民维修服务制度，制定合理的入户服务收费标准</w:t>
      </w:r>
      <w:r>
        <w:rPr>
          <w:rFonts w:hint="eastAsia"/>
        </w:rPr>
        <w:t>。</w:t>
      </w:r>
    </w:p>
    <w:p w14:paraId="55F2844E"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rPr>
          <w:rFonts w:hint="eastAsia"/>
        </w:rPr>
        <w:t>小区主出入口应设置小区平面图，各路口设置楼栋指示牌；楼栋号、单元号及各楼层和房号等标</w:t>
      </w:r>
      <w:r>
        <w:rPr>
          <w:rFonts w:hint="eastAsia"/>
        </w:rPr>
        <w:t>识完整清晰；</w:t>
      </w:r>
      <w:r>
        <w:t>对危险隐患部位</w:t>
      </w:r>
      <w:r>
        <w:rPr>
          <w:rFonts w:hint="eastAsia"/>
        </w:rPr>
        <w:t>应设置</w:t>
      </w:r>
      <w:r>
        <w:t>安全防范警示标志和防护设施</w:t>
      </w:r>
      <w:r>
        <w:rPr>
          <w:rFonts w:hint="eastAsia"/>
        </w:rPr>
        <w:t>。小区主出入口、单元内应设置公告栏，及时张贴公布物业管理等相关信息。</w:t>
      </w:r>
    </w:p>
    <w:p w14:paraId="22908629"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t>小区应配备消防设备设施，</w:t>
      </w:r>
      <w:r>
        <w:rPr>
          <w:rFonts w:ascii="宋体" w:hAnsi="宋体" w:hint="eastAsia"/>
        </w:rPr>
        <w:t>消防设施应由持有消防设施操作员证的专业人员进行维护，消防设施应每年进行检测维保，并有记录台账。</w:t>
      </w:r>
      <w:commentRangeStart w:id="75"/>
      <w:commentRangeEnd w:id="75"/>
      <w:r>
        <w:rPr>
          <w:rStyle w:val="af2"/>
        </w:rPr>
        <w:commentReference w:id="75"/>
      </w:r>
      <w:r>
        <w:rPr>
          <w:rFonts w:hint="eastAsia"/>
        </w:rPr>
        <w:t>灭火器应配备齐全，并应定期检查气压，应</w:t>
      </w:r>
      <w:r>
        <w:t>配置消防灭火架及应急工具。</w:t>
      </w:r>
      <w:r>
        <w:rPr>
          <w:rFonts w:hint="eastAsia"/>
        </w:rPr>
        <w:t>公共场所、住宅使用的火灾报警产品、灭火器、避难逃生产品应采用</w:t>
      </w:r>
      <w:r>
        <w:t>3C</w:t>
      </w:r>
      <w:r>
        <w:t>认证产品。消防通道应保持畅通，机动车与非机动车停放有序、无安全隐患。</w:t>
      </w:r>
    </w:p>
    <w:p w14:paraId="1907759D" w14:textId="77777777" w:rsidR="00622EE7" w:rsidRDefault="00E60909">
      <w:pPr>
        <w:pStyle w:val="af3"/>
        <w:numPr>
          <w:ilvl w:val="0"/>
          <w:numId w:val="49"/>
        </w:numPr>
        <w:ind w:left="0" w:firstLineChars="0" w:firstLine="0"/>
        <w:contextualSpacing/>
        <w:rPr>
          <w:rFonts w:ascii="楷体" w:eastAsia="楷体" w:hAnsi="楷体"/>
        </w:rPr>
      </w:pPr>
      <w:r>
        <w:rPr>
          <w:rFonts w:ascii="楷体" w:eastAsia="楷体" w:hAnsi="楷体"/>
        </w:rPr>
        <w:t>【</w:t>
      </w:r>
      <w:r>
        <w:rPr>
          <w:rFonts w:ascii="楷体" w:eastAsia="楷体" w:hAnsi="楷体" w:hint="eastAsia"/>
        </w:rPr>
        <w:t>基础项</w:t>
      </w:r>
      <w:r>
        <w:rPr>
          <w:rFonts w:ascii="楷体" w:eastAsia="楷体" w:hAnsi="楷体"/>
        </w:rPr>
        <w:t>】</w:t>
      </w:r>
      <w:r>
        <w:rPr>
          <w:rFonts w:ascii="宋体" w:hAnsi="宋体" w:hint="eastAsia"/>
        </w:rPr>
        <w:t>高品质住宅小区应</w:t>
      </w:r>
      <w:r>
        <w:t>制定消防应急方案、定期组织消防演习</w:t>
      </w:r>
      <w:r>
        <w:rPr>
          <w:rFonts w:hint="eastAsia"/>
        </w:rPr>
        <w:t>。</w:t>
      </w:r>
    </w:p>
    <w:p w14:paraId="1FE2C034"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共用设施设备应按照类型设置使用说明标牌，</w:t>
      </w:r>
      <w:proofErr w:type="gramStart"/>
      <w:r>
        <w:rPr>
          <w:rFonts w:hint="eastAsia"/>
        </w:rPr>
        <w:t>且按照</w:t>
      </w:r>
      <w:proofErr w:type="gramEnd"/>
      <w:r>
        <w:rPr>
          <w:rFonts w:hint="eastAsia"/>
        </w:rPr>
        <w:t>使用功能，标明管理状态、提示、警示、指示等标识。</w:t>
      </w:r>
    </w:p>
    <w:p w14:paraId="4E37B4D7"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应配备专业保安队伍进行秩序维护，出入口应有专人值班，制定合理的巡查路线，实行</w:t>
      </w:r>
      <w:r>
        <w:t>24</w:t>
      </w:r>
      <w:r>
        <w:t>小时值班及巡逻制度</w:t>
      </w:r>
      <w:r>
        <w:rPr>
          <w:rFonts w:hint="eastAsia"/>
        </w:rPr>
        <w:t>。</w:t>
      </w:r>
    </w:p>
    <w:p w14:paraId="4A218DC5" w14:textId="77777777" w:rsidR="00622EE7" w:rsidRDefault="00E60909">
      <w:pPr>
        <w:pStyle w:val="af3"/>
        <w:numPr>
          <w:ilvl w:val="0"/>
          <w:numId w:val="49"/>
        </w:numPr>
        <w:ind w:left="0" w:firstLineChars="0" w:firstLine="0"/>
        <w:contextualSpacing/>
        <w:rPr>
          <w:rFonts w:ascii="楷体" w:eastAsia="楷体" w:hAnsi="楷体"/>
        </w:rPr>
      </w:pPr>
      <w:r>
        <w:rPr>
          <w:rFonts w:ascii="楷体" w:eastAsia="楷体" w:hAnsi="楷体"/>
        </w:rPr>
        <w:t>【</w:t>
      </w:r>
      <w:r>
        <w:rPr>
          <w:rFonts w:ascii="楷体" w:eastAsia="楷体" w:hAnsi="楷体" w:hint="eastAsia"/>
        </w:rPr>
        <w:t>品质项</w:t>
      </w:r>
      <w:r>
        <w:rPr>
          <w:rFonts w:ascii="楷体" w:eastAsia="楷体" w:hAnsi="楷体"/>
        </w:rPr>
        <w:t>】</w:t>
      </w:r>
      <w:r>
        <w:rPr>
          <w:rFonts w:hint="eastAsia"/>
        </w:rPr>
        <w:t>物业服务应充分利用</w:t>
      </w:r>
      <w:r>
        <w:t>视频监控</w:t>
      </w:r>
      <w:r>
        <w:rPr>
          <w:rFonts w:hint="eastAsia"/>
        </w:rPr>
        <w:t>、车辆监测等</w:t>
      </w:r>
      <w:r>
        <w:t>安防设施，</w:t>
      </w:r>
      <w:r>
        <w:rPr>
          <w:rFonts w:hint="eastAsia"/>
        </w:rPr>
        <w:t>并确保</w:t>
      </w:r>
      <w:r>
        <w:t>设施运行良好</w:t>
      </w:r>
      <w:r>
        <w:rPr>
          <w:rFonts w:hint="eastAsia"/>
        </w:rPr>
        <w:t>。安防控制室应设专人</w:t>
      </w:r>
      <w:r>
        <w:t>24</w:t>
      </w:r>
      <w:r>
        <w:t>小时值守</w:t>
      </w:r>
      <w:r>
        <w:rPr>
          <w:rFonts w:hint="eastAsia"/>
        </w:rPr>
        <w:t>。应按时巡查</w:t>
      </w:r>
      <w:r>
        <w:t>监控室摄像头等视频监控设备运行状况</w:t>
      </w:r>
      <w:r>
        <w:rPr>
          <w:rFonts w:hint="eastAsia"/>
        </w:rPr>
        <w:t>，每周抽查</w:t>
      </w:r>
      <w:r>
        <w:t>录像存储状况</w:t>
      </w:r>
      <w:r>
        <w:rPr>
          <w:rFonts w:hint="eastAsia"/>
        </w:rPr>
        <w:t>，监控数据保存时间不低于</w:t>
      </w:r>
      <w:r>
        <w:t>30</w:t>
      </w:r>
      <w:r>
        <w:t>天</w:t>
      </w:r>
      <w:r>
        <w:rPr>
          <w:rFonts w:hint="eastAsia"/>
        </w:rPr>
        <w:t>。并应定期对摄像机等监控设备进行</w:t>
      </w:r>
      <w:r>
        <w:t>检查</w:t>
      </w:r>
      <w:r>
        <w:rPr>
          <w:rFonts w:hint="eastAsia"/>
        </w:rPr>
        <w:t>。</w:t>
      </w:r>
    </w:p>
    <w:p w14:paraId="0448AD77" w14:textId="77777777" w:rsidR="00622EE7" w:rsidRDefault="00E60909">
      <w:pPr>
        <w:pStyle w:val="af3"/>
        <w:numPr>
          <w:ilvl w:val="0"/>
          <w:numId w:val="49"/>
        </w:numPr>
        <w:ind w:left="0" w:firstLineChars="0" w:firstLine="0"/>
        <w:contextualSpacing/>
      </w:pPr>
      <w:r>
        <w:rPr>
          <w:rFonts w:ascii="楷体" w:eastAsia="楷体" w:hAnsi="楷体"/>
        </w:rPr>
        <w:lastRenderedPageBreak/>
        <w:t>【</w:t>
      </w:r>
      <w:r>
        <w:rPr>
          <w:rFonts w:ascii="楷体" w:eastAsia="楷体" w:hAnsi="楷体" w:hint="eastAsia"/>
        </w:rPr>
        <w:t>品质项</w:t>
      </w:r>
      <w:r>
        <w:rPr>
          <w:rFonts w:ascii="楷体" w:eastAsia="楷体" w:hAnsi="楷体"/>
        </w:rPr>
        <w:t>】</w:t>
      </w:r>
      <w:r>
        <w:rPr>
          <w:rFonts w:hint="eastAsia"/>
        </w:rPr>
        <w:t>住宅小区清洁卫生应实行责任制，有专职的清洁人员和明确的责任范围；小区环境整洁降雨、降雪后及时组织清扫，住宅公共部位应保持清洁，无乱贴、乱画，无擅自占用和堆放杂物现象。</w:t>
      </w:r>
    </w:p>
    <w:p w14:paraId="73335B1C" w14:textId="77777777" w:rsidR="00622EE7" w:rsidRDefault="00E60909">
      <w:pPr>
        <w:pStyle w:val="af3"/>
        <w:numPr>
          <w:ilvl w:val="0"/>
          <w:numId w:val="49"/>
        </w:numPr>
        <w:ind w:left="0" w:firstLineChars="0" w:firstLine="0"/>
        <w:contextualSpacing/>
      </w:pPr>
      <w:r>
        <w:rPr>
          <w:rFonts w:ascii="楷体" w:eastAsia="楷体" w:hAnsi="楷体" w:hint="eastAsia"/>
        </w:rPr>
        <w:t>【提升项】</w:t>
      </w:r>
      <w:r>
        <w:rPr>
          <w:rFonts w:hint="eastAsia"/>
        </w:rPr>
        <w:t>宜对住宅建筑外立面进行定期清洁。</w:t>
      </w:r>
    </w:p>
    <w:p w14:paraId="143B39CF"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应采取物业管理措施保证水质安全，制定水池、水箱等储水设施定期清洗消毒计划并实施，生活饮用水储水设施应每半年清洗消毒不少于</w:t>
      </w:r>
      <w:r>
        <w:t>1</w:t>
      </w:r>
      <w:r>
        <w:t>次</w:t>
      </w:r>
      <w:r>
        <w:rPr>
          <w:rFonts w:hint="eastAsia"/>
        </w:rPr>
        <w:t>。</w:t>
      </w:r>
    </w:p>
    <w:p w14:paraId="30315130"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生活垃圾应处置合</w:t>
      </w:r>
      <w:r>
        <w:rPr>
          <w:rFonts w:hint="eastAsia"/>
        </w:rPr>
        <w:t>理、及时，垃圾每日清运、通风良好，实行生活垃圾分类，垃圾分类收集点应配置分类投放的垃圾箱，并设置相应的提示标识说明分类投放要求和收集管理方法。垃圾收集容器周边无散落垃圾，日产日清。</w:t>
      </w:r>
    </w:p>
    <w:p w14:paraId="3F257EC2"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rPr>
          <w:rFonts w:hint="eastAsia"/>
        </w:rPr>
        <w:t>受理装饰装修应进行申报登记，与住户签订住宅室内装饰装修管理服务协议，告知装饰装修中的禁止行为和注意事项；明确装修垃圾的清理责任；装修垃圾应袋装后堆放至指定地点，并采用密闭运输方式清运。</w:t>
      </w:r>
    </w:p>
    <w:p w14:paraId="4DB2BCB5"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rPr>
          <w:rFonts w:hint="eastAsia"/>
        </w:rPr>
        <w:t>绿化应维护良好，修剪有序，</w:t>
      </w:r>
      <w:r>
        <w:t>无病虫害、无死</w:t>
      </w:r>
      <w:r>
        <w:rPr>
          <w:rFonts w:hint="eastAsia"/>
        </w:rPr>
        <w:t>。保证树冠整齐，无枯枝，不影响车辆、行人通行，与建筑架空</w:t>
      </w:r>
      <w:proofErr w:type="gramStart"/>
      <w:r>
        <w:rPr>
          <w:rFonts w:hint="eastAsia"/>
        </w:rPr>
        <w:t>线路无刮擦</w:t>
      </w:r>
      <w:proofErr w:type="gramEnd"/>
      <w:r>
        <w:rPr>
          <w:rFonts w:hint="eastAsia"/>
        </w:rPr>
        <w:t>。</w:t>
      </w:r>
    </w:p>
    <w:p w14:paraId="1C7CBA09"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应制</w:t>
      </w:r>
      <w:proofErr w:type="gramStart"/>
      <w:r>
        <w:rPr>
          <w:rFonts w:hint="eastAsia"/>
        </w:rPr>
        <w:t>定完善</w:t>
      </w:r>
      <w:proofErr w:type="gramEnd"/>
      <w:r>
        <w:rPr>
          <w:rFonts w:hint="eastAsia"/>
        </w:rPr>
        <w:t>的景观绿化灌溉、修剪、</w:t>
      </w:r>
      <w:r>
        <w:t>病虫害防治、补植、日常养护</w:t>
      </w:r>
      <w:r>
        <w:rPr>
          <w:rFonts w:hint="eastAsia"/>
        </w:rPr>
        <w:t>规则，应落实相关责任人负责园林绿化的养护，并</w:t>
      </w:r>
      <w:proofErr w:type="gramStart"/>
      <w:r>
        <w:rPr>
          <w:rFonts w:hint="eastAsia"/>
        </w:rPr>
        <w:t>应有台</w:t>
      </w:r>
      <w:proofErr w:type="gramEnd"/>
      <w:r>
        <w:rPr>
          <w:rFonts w:hint="eastAsia"/>
        </w:rPr>
        <w:t>账记录。</w:t>
      </w:r>
    </w:p>
    <w:p w14:paraId="77F9B1C6"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绿化应维护良好，修剪有序，</w:t>
      </w:r>
      <w:r>
        <w:t>无枯枝、无病虫害、无死树</w:t>
      </w:r>
      <w:r>
        <w:rPr>
          <w:rFonts w:hint="eastAsia"/>
        </w:rPr>
        <w:t>。</w:t>
      </w:r>
    </w:p>
    <w:p w14:paraId="4125F636" w14:textId="77777777" w:rsidR="00622EE7" w:rsidRDefault="00E60909">
      <w:pPr>
        <w:pStyle w:val="af3"/>
        <w:numPr>
          <w:ilvl w:val="0"/>
          <w:numId w:val="49"/>
        </w:numPr>
        <w:ind w:left="0" w:firstLineChars="0" w:firstLine="0"/>
        <w:contextualSpacing/>
        <w:rPr>
          <w:rFonts w:ascii="楷体" w:eastAsia="楷体" w:hAnsi="楷体"/>
        </w:rPr>
      </w:pPr>
      <w:r>
        <w:rPr>
          <w:rFonts w:ascii="楷体" w:eastAsia="楷体" w:hAnsi="楷体" w:hint="eastAsia"/>
        </w:rPr>
        <w:t>【提升项】</w:t>
      </w:r>
      <w:r>
        <w:rPr>
          <w:rFonts w:hint="eastAsia"/>
        </w:rPr>
        <w:t>园林废弃物宜就地、就近处理。</w:t>
      </w:r>
    </w:p>
    <w:p w14:paraId="68634411" w14:textId="77777777" w:rsidR="00622EE7" w:rsidRDefault="00E60909">
      <w:pPr>
        <w:pStyle w:val="af3"/>
        <w:numPr>
          <w:ilvl w:val="0"/>
          <w:numId w:val="49"/>
        </w:numPr>
        <w:ind w:left="0" w:firstLineChars="0" w:firstLine="0"/>
        <w:contextualSpacing/>
      </w:pPr>
      <w:r>
        <w:rPr>
          <w:rFonts w:ascii="楷体" w:eastAsia="楷体" w:hAnsi="楷体" w:hint="eastAsia"/>
        </w:rPr>
        <w:t>【基础项】</w:t>
      </w:r>
      <w:r>
        <w:rPr>
          <w:rFonts w:hint="eastAsia"/>
        </w:rPr>
        <w:t>小区的水景观应明确公示开启时间，并设置必要的安全警示标志，应进行定期防渗漏和防漏电检查，保证用电安全。</w:t>
      </w:r>
    </w:p>
    <w:p w14:paraId="51C70C5C" w14:textId="77777777" w:rsidR="00622EE7" w:rsidRDefault="00E60909">
      <w:pPr>
        <w:pStyle w:val="af3"/>
        <w:numPr>
          <w:ilvl w:val="0"/>
          <w:numId w:val="49"/>
        </w:numPr>
        <w:ind w:left="0" w:firstLineChars="0" w:firstLine="0"/>
        <w:contextualSpacing/>
      </w:pPr>
      <w:r>
        <w:rPr>
          <w:rFonts w:ascii="楷体" w:eastAsia="楷体" w:hAnsi="楷体" w:hint="eastAsia"/>
        </w:rPr>
        <w:t>【基础项】</w:t>
      </w:r>
      <w:r>
        <w:rPr>
          <w:rFonts w:hint="eastAsia"/>
        </w:rPr>
        <w:t>应及时告知、提醒、劝阻住户按照相关规定管理宠物，并应严禁流浪狗进入小区。</w:t>
      </w:r>
    </w:p>
    <w:p w14:paraId="433720D5" w14:textId="77777777" w:rsidR="00622EE7" w:rsidRDefault="00E60909">
      <w:pPr>
        <w:spacing w:beforeLines="50" w:before="163" w:afterLines="50" w:after="163" w:line="360" w:lineRule="auto"/>
        <w:jc w:val="center"/>
        <w:outlineLvl w:val="1"/>
        <w:rPr>
          <w:rFonts w:ascii="Times New Roman" w:eastAsia="黑体" w:hAnsi="Times New Roman"/>
        </w:rPr>
      </w:pPr>
      <w:bookmarkStart w:id="76" w:name="_Toc182841381"/>
      <w:r>
        <w:rPr>
          <w:rFonts w:ascii="Times New Roman" w:eastAsia="黑体" w:hAnsi="Times New Roman"/>
        </w:rPr>
        <w:t xml:space="preserve">12.2 </w:t>
      </w:r>
      <w:r>
        <w:rPr>
          <w:rFonts w:ascii="Times New Roman" w:eastAsia="黑体" w:hAnsi="Times New Roman" w:hint="eastAsia"/>
        </w:rPr>
        <w:t>文化与关怀</w:t>
      </w:r>
      <w:bookmarkEnd w:id="76"/>
    </w:p>
    <w:p w14:paraId="34F3715B"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应设置客户服务中心，并提供社区养老托幼、助残、助餐、快递上门</w:t>
      </w:r>
      <w:r>
        <w:rPr>
          <w:rFonts w:hint="eastAsia"/>
        </w:rPr>
        <w:t>和无接触配送、家政等服务，满足居民多样化的生活服务需求。</w:t>
      </w:r>
    </w:p>
    <w:p w14:paraId="7A509210" w14:textId="77777777" w:rsidR="00622EE7" w:rsidRDefault="00E60909">
      <w:pPr>
        <w:pStyle w:val="af8"/>
        <w:numPr>
          <w:ilvl w:val="0"/>
          <w:numId w:val="50"/>
        </w:numPr>
        <w:ind w:left="0" w:firstLine="0"/>
        <w:rPr>
          <w:bCs/>
        </w:rPr>
      </w:pPr>
      <w:r>
        <w:rPr>
          <w:rFonts w:ascii="楷体" w:eastAsia="楷体" w:hAnsi="楷体" w:hint="eastAsia"/>
        </w:rPr>
        <w:t>【提升项】</w:t>
      </w:r>
      <w:r>
        <w:rPr>
          <w:rFonts w:hint="eastAsia"/>
          <w:bCs/>
        </w:rPr>
        <w:t>高品质住宅小区</w:t>
      </w:r>
      <w:proofErr w:type="gramStart"/>
      <w:r>
        <w:rPr>
          <w:rFonts w:hint="eastAsia"/>
        </w:rPr>
        <w:t>宜针对</w:t>
      </w:r>
      <w:proofErr w:type="gramEnd"/>
      <w:r>
        <w:rPr>
          <w:rFonts w:hint="eastAsia"/>
        </w:rPr>
        <w:t>老年人设置助浴、临时看护等服务，并宜提</w:t>
      </w:r>
      <w:r>
        <w:rPr>
          <w:rFonts w:hint="eastAsia"/>
          <w:bCs/>
        </w:rPr>
        <w:t>供</w:t>
      </w:r>
      <w:r>
        <w:rPr>
          <w:bCs/>
        </w:rPr>
        <w:t>老年大学或其他教育、培训</w:t>
      </w:r>
      <w:r>
        <w:rPr>
          <w:rFonts w:hint="eastAsia"/>
          <w:bCs/>
        </w:rPr>
        <w:t>活动，丰富老年人日常生活。</w:t>
      </w:r>
    </w:p>
    <w:p w14:paraId="00006022"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应通过景观墙、告示牌、海报等方式宣传和展示良好的行为习</w:t>
      </w:r>
      <w:r>
        <w:rPr>
          <w:rFonts w:hint="eastAsia"/>
        </w:rPr>
        <w:lastRenderedPageBreak/>
        <w:t>惯，体现有特色的社区文化，</w:t>
      </w:r>
    </w:p>
    <w:p w14:paraId="2974B69E"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应制</w:t>
      </w:r>
      <w:proofErr w:type="gramStart"/>
      <w:r>
        <w:rPr>
          <w:rFonts w:hint="eastAsia"/>
        </w:rPr>
        <w:t>定发布</w:t>
      </w:r>
      <w:proofErr w:type="gramEnd"/>
      <w:r>
        <w:rPr>
          <w:rFonts w:hint="eastAsia"/>
        </w:rPr>
        <w:t>居民公约，营造良好的家园氛围。</w:t>
      </w:r>
    </w:p>
    <w:p w14:paraId="7D8EA310"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应定期举办文化活动，重要节假日之前应组织小区装饰美化活动，营造富有特色的社区文化。</w:t>
      </w:r>
    </w:p>
    <w:p w14:paraId="6412985E"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proofErr w:type="gramStart"/>
      <w:r>
        <w:rPr>
          <w:rFonts w:hint="eastAsia"/>
        </w:rPr>
        <w:t>宜建立</w:t>
      </w:r>
      <w:proofErr w:type="gramEnd"/>
      <w:r>
        <w:rPr>
          <w:rFonts w:hint="eastAsia"/>
        </w:rPr>
        <w:t>规章制度定期开展满意度调查或用户访谈，根据调查结果优化服务内容。</w:t>
      </w:r>
    </w:p>
    <w:p w14:paraId="386C3C38" w14:textId="77777777" w:rsidR="00622EE7" w:rsidRDefault="00E60909">
      <w:pPr>
        <w:spacing w:beforeLines="50" w:before="163" w:afterLines="50" w:after="163" w:line="360" w:lineRule="auto"/>
        <w:jc w:val="center"/>
        <w:outlineLvl w:val="1"/>
        <w:rPr>
          <w:rFonts w:ascii="Times New Roman" w:eastAsia="黑体" w:hAnsi="Times New Roman"/>
        </w:rPr>
      </w:pPr>
      <w:bookmarkStart w:id="77" w:name="_Toc182841382"/>
      <w:r>
        <w:rPr>
          <w:rFonts w:ascii="Times New Roman" w:eastAsia="黑体" w:hAnsi="Times New Roman"/>
        </w:rPr>
        <w:t xml:space="preserve">12.3 </w:t>
      </w:r>
      <w:r>
        <w:rPr>
          <w:rFonts w:ascii="Times New Roman" w:eastAsia="黑体" w:hAnsi="Times New Roman" w:hint="eastAsia"/>
        </w:rPr>
        <w:t>检</w:t>
      </w:r>
      <w:r>
        <w:rPr>
          <w:rFonts w:ascii="Times New Roman" w:eastAsia="黑体" w:hAnsi="Times New Roman" w:hint="eastAsia"/>
        </w:rPr>
        <w:t>查与维修</w:t>
      </w:r>
      <w:bookmarkEnd w:id="77"/>
    </w:p>
    <w:p w14:paraId="2B4F03AA"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【创新项】</w:t>
      </w:r>
      <w:r>
        <w:rPr>
          <w:rFonts w:ascii="宋体" w:hAnsi="宋体"/>
        </w:rPr>
        <w:t>住宅小区</w:t>
      </w:r>
      <w:r>
        <w:rPr>
          <w:rFonts w:ascii="宋体" w:hAnsi="宋体" w:hint="eastAsia"/>
        </w:rPr>
        <w:t>宜编制维修维护计划书和建立维修维护档案，明确</w:t>
      </w:r>
      <w:r>
        <w:rPr>
          <w:rFonts w:ascii="宋体" w:hAnsi="宋体"/>
        </w:rPr>
        <w:t>住宅物业共用部位和共用设施设备的维修养护和管理办法</w:t>
      </w:r>
      <w:r>
        <w:rPr>
          <w:rFonts w:ascii="宋体" w:hAnsi="宋体" w:hint="eastAsia"/>
        </w:rPr>
        <w:t>。应包含</w:t>
      </w:r>
      <w:r>
        <w:rPr>
          <w:rFonts w:ascii="宋体" w:hAnsi="宋体"/>
        </w:rPr>
        <w:t>房屋结构、建筑部件、附属构筑物、二次供水设施、排水系统、照明和电气设备、安全防范系统、电梯、水景等的定期检查、巡视、养护等。</w:t>
      </w:r>
    </w:p>
    <w:p w14:paraId="3F802FCA"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【基础项】</w:t>
      </w:r>
      <w:r>
        <w:rPr>
          <w:rFonts w:ascii="宋体" w:hAnsi="宋体" w:hint="eastAsia"/>
        </w:rPr>
        <w:t>应定期检修小区公共地面、围墙围栏、闸机设备等公共设施，小修及时处理，记录完整；大、中修的，书面</w:t>
      </w:r>
      <w:proofErr w:type="gramStart"/>
      <w:r>
        <w:rPr>
          <w:rFonts w:ascii="宋体" w:hAnsi="宋体" w:hint="eastAsia"/>
        </w:rPr>
        <w:t>告知业委</w:t>
      </w:r>
      <w:proofErr w:type="gramEnd"/>
      <w:r>
        <w:rPr>
          <w:rFonts w:ascii="宋体" w:hAnsi="宋体" w:hint="eastAsia"/>
        </w:rPr>
        <w:t>会或相关责任单位。</w:t>
      </w:r>
    </w:p>
    <w:p w14:paraId="2B8C69A3" w14:textId="77777777" w:rsidR="00622EE7" w:rsidRDefault="00E60909">
      <w:pPr>
        <w:pStyle w:val="af3"/>
        <w:numPr>
          <w:ilvl w:val="0"/>
          <w:numId w:val="51"/>
        </w:numPr>
        <w:ind w:left="0" w:firstLineChars="0" w:firstLine="0"/>
        <w:contextualSpacing/>
        <w:rPr>
          <w:rFonts w:ascii="宋体" w:hAnsi="宋体"/>
        </w:rPr>
      </w:pPr>
      <w:commentRangeStart w:id="78"/>
      <w:r>
        <w:rPr>
          <w:rFonts w:ascii="楷体" w:eastAsia="楷体" w:hAnsi="楷体" w:hint="eastAsia"/>
        </w:rPr>
        <w:t>【基础项】</w:t>
      </w:r>
      <w:r>
        <w:rPr>
          <w:rFonts w:ascii="宋体" w:hAnsi="宋体" w:hint="eastAsia"/>
        </w:rPr>
        <w:t>应定期检查小区内部道路的行道线、车位线等道路标线，保证小区内部主路车辆行道线清晰，机动车与非机动车车位线清晰；应控制车辆停放有序；建立车辆信息并及时更新。</w:t>
      </w:r>
      <w:commentRangeEnd w:id="78"/>
      <w:r>
        <w:rPr>
          <w:rStyle w:val="af2"/>
        </w:rPr>
        <w:commentReference w:id="78"/>
      </w:r>
    </w:p>
    <w:p w14:paraId="114C6A00"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进行应包含日常检查、</w:t>
      </w:r>
      <w:r>
        <w:rPr>
          <w:rFonts w:ascii="宋体" w:hAnsi="宋体"/>
        </w:rPr>
        <w:t>维修、保养</w:t>
      </w:r>
      <w:r>
        <w:rPr>
          <w:rFonts w:ascii="宋体" w:hAnsi="宋体" w:hint="eastAsia"/>
        </w:rPr>
        <w:t>和</w:t>
      </w:r>
      <w:r>
        <w:rPr>
          <w:rFonts w:ascii="宋体" w:hAnsi="宋体"/>
        </w:rPr>
        <w:t>下水道疏通、屋顶防水、外墙翻新等预防性</w:t>
      </w:r>
      <w:r>
        <w:rPr>
          <w:rFonts w:ascii="宋体" w:hAnsi="宋体" w:hint="eastAsia"/>
        </w:rPr>
        <w:t>检查和定期维修</w:t>
      </w:r>
      <w:r>
        <w:rPr>
          <w:rFonts w:ascii="宋体" w:hAnsi="宋体"/>
        </w:rPr>
        <w:t>。</w:t>
      </w:r>
    </w:p>
    <w:p w14:paraId="3B8B424A"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宜对</w:t>
      </w:r>
      <w:r>
        <w:rPr>
          <w:rFonts w:ascii="宋体" w:hAnsi="宋体"/>
        </w:rPr>
        <w:t>住宅小区</w:t>
      </w:r>
      <w:r>
        <w:rPr>
          <w:rFonts w:ascii="宋体" w:hAnsi="宋体" w:hint="eastAsia"/>
        </w:rPr>
        <w:t>排水管道、电梯、屋顶防水和外墙等位置进行预防性维修。</w:t>
      </w:r>
    </w:p>
    <w:p w14:paraId="687AE4E0" w14:textId="77777777" w:rsidR="00622EE7" w:rsidRDefault="00E60909">
      <w:pPr>
        <w:pStyle w:val="af3"/>
        <w:numPr>
          <w:ilvl w:val="0"/>
          <w:numId w:val="51"/>
        </w:numPr>
        <w:ind w:left="0" w:firstLineChars="0" w:firstLine="0"/>
        <w:contextualSpacing/>
        <w:rPr>
          <w:rFonts w:ascii="宋体" w:hAnsi="宋体"/>
        </w:rPr>
      </w:pPr>
      <w:r>
        <w:rPr>
          <w:rFonts w:ascii="楷体" w:eastAsia="楷体" w:hAnsi="楷体"/>
        </w:rPr>
        <w:t>【</w:t>
      </w:r>
      <w:r>
        <w:rPr>
          <w:rFonts w:ascii="楷体" w:eastAsia="楷体" w:hAnsi="楷体" w:hint="eastAsia"/>
        </w:rPr>
        <w:t>创新项</w:t>
      </w:r>
      <w:r>
        <w:rPr>
          <w:rFonts w:ascii="楷体" w:eastAsia="楷体" w:hAnsi="楷体"/>
        </w:rPr>
        <w:t>】</w:t>
      </w:r>
      <w:r>
        <w:rPr>
          <w:rFonts w:ascii="宋体" w:hAnsi="宋体" w:hint="eastAsia"/>
        </w:rPr>
        <w:t>住宅小区的建筑幕墙应定期检查维护。发现有部件损坏或者松动的，应及时进行修补、更换。</w:t>
      </w:r>
    </w:p>
    <w:p w14:paraId="4DAB56F7" w14:textId="77777777" w:rsidR="00622EE7" w:rsidRDefault="00E60909">
      <w:pPr>
        <w:spacing w:beforeLines="50" w:before="163" w:afterLines="50" w:after="163" w:line="360" w:lineRule="auto"/>
        <w:jc w:val="center"/>
        <w:outlineLvl w:val="1"/>
        <w:rPr>
          <w:rFonts w:ascii="Times New Roman" w:eastAsia="黑体" w:hAnsi="Times New Roman"/>
        </w:rPr>
      </w:pPr>
      <w:bookmarkStart w:id="79" w:name="_Toc182841383"/>
      <w:r>
        <w:rPr>
          <w:rFonts w:ascii="Times New Roman" w:eastAsia="黑体" w:hAnsi="Times New Roman"/>
        </w:rPr>
        <w:t xml:space="preserve">12.4 </w:t>
      </w:r>
      <w:r>
        <w:rPr>
          <w:rFonts w:ascii="Times New Roman" w:eastAsia="黑体" w:hAnsi="Times New Roman" w:hint="eastAsia"/>
        </w:rPr>
        <w:t>智慧运维</w:t>
      </w:r>
      <w:bookmarkEnd w:id="79"/>
    </w:p>
    <w:p w14:paraId="413429A8" w14:textId="77777777" w:rsidR="00622EE7" w:rsidRDefault="00E60909">
      <w:pPr>
        <w:pStyle w:val="af3"/>
        <w:numPr>
          <w:ilvl w:val="0"/>
          <w:numId w:val="52"/>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应发展线上社区服务业，如社区综合服务公众号、</w:t>
      </w:r>
      <w:r>
        <w:rPr>
          <w:rFonts w:hint="eastAsia"/>
        </w:rPr>
        <w:t>A</w:t>
      </w:r>
      <w:r>
        <w:t>PP</w:t>
      </w:r>
      <w:r>
        <w:rPr>
          <w:rFonts w:hint="eastAsia"/>
        </w:rPr>
        <w:t>或</w:t>
      </w:r>
      <w:r>
        <w:rPr>
          <w:rFonts w:hint="eastAsia"/>
        </w:rPr>
        <w:t>相关网站等，</w:t>
      </w:r>
      <w:proofErr w:type="gramStart"/>
      <w:r>
        <w:rPr>
          <w:rFonts w:hint="eastAsia"/>
        </w:rPr>
        <w:t>实现线</w:t>
      </w:r>
      <w:proofErr w:type="gramEnd"/>
      <w:r>
        <w:rPr>
          <w:rFonts w:hint="eastAsia"/>
        </w:rPr>
        <w:t>上管理和服务。</w:t>
      </w:r>
    </w:p>
    <w:p w14:paraId="092EE967" w14:textId="77777777" w:rsidR="00622EE7" w:rsidRDefault="00E60909">
      <w:pPr>
        <w:pStyle w:val="af3"/>
        <w:numPr>
          <w:ilvl w:val="0"/>
          <w:numId w:val="52"/>
        </w:numPr>
        <w:ind w:firstLineChars="0"/>
        <w:contextualSpacing/>
        <w:rPr>
          <w:rFonts w:ascii="宋体" w:hAnsi="宋体"/>
        </w:rPr>
      </w:pPr>
      <w:r>
        <w:rPr>
          <w:rFonts w:ascii="楷体" w:eastAsia="楷体" w:hAnsi="楷体" w:hint="eastAsia"/>
        </w:rPr>
        <w:t>【创新项】</w:t>
      </w:r>
      <w:proofErr w:type="gramStart"/>
      <w:r>
        <w:rPr>
          <w:rFonts w:ascii="宋体" w:hAnsi="宋体" w:hint="eastAsia"/>
        </w:rPr>
        <w:t>宜建立</w:t>
      </w:r>
      <w:proofErr w:type="gramEnd"/>
      <w:r>
        <w:rPr>
          <w:rFonts w:ascii="宋体" w:hAnsi="宋体" w:hint="eastAsia"/>
        </w:rPr>
        <w:t>智慧小区综合管理服务平台实现以下功能：</w:t>
      </w:r>
    </w:p>
    <w:p w14:paraId="67BCBFF3" w14:textId="77777777" w:rsidR="00622EE7" w:rsidRDefault="00E60909">
      <w:pPr>
        <w:pStyle w:val="af8"/>
        <w:numPr>
          <w:ilvl w:val="0"/>
          <w:numId w:val="53"/>
        </w:numPr>
        <w:ind w:left="0" w:firstLineChars="200" w:firstLine="480"/>
      </w:pPr>
      <w:r>
        <w:rPr>
          <w:rFonts w:hint="eastAsia"/>
        </w:rPr>
        <w:t>实现安全技术防范系统的接入，整合小区范围内出入口控制系统、入侵报</w:t>
      </w:r>
      <w:r>
        <w:rPr>
          <w:rFonts w:hint="eastAsia"/>
        </w:rPr>
        <w:lastRenderedPageBreak/>
        <w:t>警系统、紧急求助报警系统、电子巡查系统、视频安防监控系统、停车管理系统，小区治安管理人员、物业管理人员可根据自身权限，获取小区安全技术防范对应的服务支持；</w:t>
      </w:r>
    </w:p>
    <w:p w14:paraId="4F1CBB92" w14:textId="77777777" w:rsidR="00622EE7" w:rsidRDefault="00E60909">
      <w:pPr>
        <w:pStyle w:val="af8"/>
        <w:numPr>
          <w:ilvl w:val="0"/>
          <w:numId w:val="53"/>
        </w:numPr>
        <w:ind w:left="0" w:firstLineChars="200" w:firstLine="480"/>
      </w:pPr>
      <w:r>
        <w:t>实现建筑设备管理系统的接入，整合小区范围内电梯监控系统、公共照明监控系统、给排水监控系统、变配电监测系统、建筑能耗监管系统，物业管理人员可根据自身权限，获取小区建筑设备管理对应的服务</w:t>
      </w:r>
      <w:r>
        <w:rPr>
          <w:rFonts w:hint="eastAsia"/>
        </w:rPr>
        <w:t>；</w:t>
      </w:r>
    </w:p>
    <w:p w14:paraId="1C54B844" w14:textId="77777777" w:rsidR="00622EE7" w:rsidRDefault="00E60909">
      <w:pPr>
        <w:pStyle w:val="af8"/>
        <w:numPr>
          <w:ilvl w:val="0"/>
          <w:numId w:val="53"/>
        </w:numPr>
        <w:ind w:left="0" w:firstLineChars="200" w:firstLine="480"/>
      </w:pPr>
      <w:r>
        <w:t>实现信息化系统的</w:t>
      </w:r>
      <w:r>
        <w:t>接入，整合小区范围信息导引及发布系统、公共广播系统、无线对讲系统、物业管理系统的数据信息，物业管理人员可根据自身权限，获取信息化应用对应的服务。</w:t>
      </w:r>
    </w:p>
    <w:p w14:paraId="792DD594" w14:textId="77777777" w:rsidR="00622EE7" w:rsidRDefault="00E60909">
      <w:pPr>
        <w:pStyle w:val="af3"/>
        <w:numPr>
          <w:ilvl w:val="0"/>
          <w:numId w:val="52"/>
        </w:numPr>
        <w:ind w:firstLineChars="0"/>
        <w:contextualSpacing/>
        <w:rPr>
          <w:rFonts w:ascii="宋体" w:hAnsi="宋体"/>
        </w:rPr>
      </w:pPr>
      <w:r>
        <w:rPr>
          <w:rFonts w:ascii="楷体" w:eastAsia="楷体" w:hAnsi="楷体" w:hint="eastAsia"/>
        </w:rPr>
        <w:t>【创新项】</w:t>
      </w:r>
      <w:r>
        <w:rPr>
          <w:rFonts w:ascii="宋体" w:hAnsi="宋体" w:hint="eastAsia"/>
        </w:rPr>
        <w:t>智慧小区综合管理服务平台宜有小区外部资源接入功能，并</w:t>
      </w:r>
      <w:proofErr w:type="gramStart"/>
      <w:r>
        <w:rPr>
          <w:rFonts w:ascii="宋体" w:hAnsi="宋体" w:hint="eastAsia"/>
        </w:rPr>
        <w:t>宜符合</w:t>
      </w:r>
      <w:proofErr w:type="gramEnd"/>
      <w:r>
        <w:rPr>
          <w:rFonts w:ascii="宋体" w:hAnsi="宋体" w:hint="eastAsia"/>
        </w:rPr>
        <w:t>下列规定：</w:t>
      </w:r>
    </w:p>
    <w:p w14:paraId="6E67768A" w14:textId="77777777" w:rsidR="00622EE7" w:rsidRDefault="00E60909">
      <w:pPr>
        <w:pStyle w:val="af8"/>
        <w:numPr>
          <w:ilvl w:val="0"/>
          <w:numId w:val="54"/>
        </w:numPr>
        <w:ind w:left="0" w:firstLineChars="200" w:firstLine="480"/>
      </w:pPr>
      <w:r>
        <w:t>整合教育服务、医疗服务、文体服务、养老服务等各类公共服务资源，并将服务信息推送至各智能终端，物业企业、小区</w:t>
      </w:r>
      <w:r>
        <w:rPr>
          <w:rFonts w:hint="eastAsia"/>
        </w:rPr>
        <w:t>用户可</w:t>
      </w:r>
      <w:r>
        <w:t>通过个人电脑、手机等设备访问智慧小区综合管理服务平台，获取公共服务资源</w:t>
      </w:r>
      <w:r>
        <w:rPr>
          <w:rFonts w:hint="eastAsia"/>
        </w:rPr>
        <w:t>；</w:t>
      </w:r>
    </w:p>
    <w:p w14:paraId="123B7C01" w14:textId="77777777" w:rsidR="00622EE7" w:rsidRDefault="00E60909">
      <w:pPr>
        <w:pStyle w:val="af8"/>
        <w:widowControl/>
        <w:numPr>
          <w:ilvl w:val="0"/>
          <w:numId w:val="54"/>
        </w:numPr>
        <w:ind w:left="0" w:firstLineChars="200" w:firstLine="480"/>
      </w:pPr>
      <w:r>
        <w:t>可联系商户入驻智慧小区综合管理服务平台，小区住户通过访问智慧小区综合管理服务</w:t>
      </w:r>
      <w:proofErr w:type="gramStart"/>
      <w:r>
        <w:t>平台电商管理</w:t>
      </w:r>
      <w:proofErr w:type="gramEnd"/>
      <w:r>
        <w:t>服务平台，可</w:t>
      </w:r>
      <w:r>
        <w:t>享受网上购物、订货、送货、预约等服务。</w:t>
      </w:r>
    </w:p>
    <w:p w14:paraId="0F10ED2F" w14:textId="77777777" w:rsidR="00622EE7" w:rsidRDefault="00E60909">
      <w:pPr>
        <w:widowControl/>
        <w:rPr>
          <w:rFonts w:eastAsia="黑体"/>
          <w:sz w:val="40"/>
          <w:szCs w:val="48"/>
        </w:rPr>
      </w:pPr>
      <w:r>
        <w:br w:type="page"/>
      </w:r>
    </w:p>
    <w:p w14:paraId="1767EE1B" w14:textId="77777777" w:rsidR="00622EE7" w:rsidRDefault="00E60909">
      <w:pPr>
        <w:pStyle w:val="1"/>
      </w:pPr>
      <w:bookmarkStart w:id="80" w:name="_Toc179988265"/>
      <w:bookmarkStart w:id="81" w:name="_Toc182841384"/>
      <w:r>
        <w:rPr>
          <w:rFonts w:hint="eastAsia"/>
        </w:rPr>
        <w:lastRenderedPageBreak/>
        <w:t>用词说明</w:t>
      </w:r>
      <w:bookmarkEnd w:id="80"/>
      <w:bookmarkEnd w:id="81"/>
    </w:p>
    <w:p w14:paraId="092646F9" w14:textId="77777777" w:rsidR="00622EE7" w:rsidRDefault="00E60909">
      <w:pPr>
        <w:rPr>
          <w:rFonts w:ascii="Times New Roman" w:hAnsi="Times New Roman"/>
        </w:rPr>
      </w:pPr>
      <w:r>
        <w:rPr>
          <w:rFonts w:ascii="Times New Roman" w:hAnsi="Times New Roman" w:hint="eastAsia"/>
        </w:rPr>
        <w:t>为便于在执行本导则条文时区别对待，对要求严格程度不同的用词说明如下：</w:t>
      </w:r>
    </w:p>
    <w:p w14:paraId="1C7D64AC" w14:textId="77777777" w:rsidR="00622EE7" w:rsidRDefault="00E60909">
      <w:pPr>
        <w:pStyle w:val="af8"/>
        <w:ind w:firstLine="482"/>
      </w:pPr>
      <w:r>
        <w:rPr>
          <w:b/>
        </w:rPr>
        <w:t xml:space="preserve">1 </w:t>
      </w:r>
      <w:r>
        <w:t xml:space="preserve"> </w:t>
      </w:r>
      <w:r>
        <w:rPr>
          <w:rFonts w:hint="eastAsia"/>
        </w:rPr>
        <w:t>表示很严格，非这样做不可的：</w:t>
      </w:r>
    </w:p>
    <w:p w14:paraId="118BE664" w14:textId="77777777" w:rsidR="00622EE7" w:rsidRDefault="00E60909">
      <w:pPr>
        <w:pStyle w:val="af8"/>
        <w:ind w:firstLine="480"/>
      </w:pPr>
      <w:r>
        <w:t xml:space="preserve">   </w:t>
      </w:r>
      <w:r>
        <w:rPr>
          <w:rFonts w:hint="eastAsia"/>
        </w:rPr>
        <w:t>正面</w:t>
      </w:r>
      <w:proofErr w:type="gramStart"/>
      <w:r>
        <w:rPr>
          <w:rFonts w:hint="eastAsia"/>
        </w:rPr>
        <w:t>词采用</w:t>
      </w:r>
      <w:proofErr w:type="gramEnd"/>
      <w:r>
        <w:t>“</w:t>
      </w:r>
      <w:r>
        <w:rPr>
          <w:rFonts w:hint="eastAsia"/>
        </w:rPr>
        <w:t>必须</w:t>
      </w:r>
      <w:r>
        <w:t>”</w:t>
      </w:r>
      <w:r>
        <w:rPr>
          <w:rFonts w:hint="eastAsia"/>
        </w:rPr>
        <w:t>，反面</w:t>
      </w:r>
      <w:proofErr w:type="gramStart"/>
      <w:r>
        <w:rPr>
          <w:rFonts w:hint="eastAsia"/>
        </w:rPr>
        <w:t>词采用</w:t>
      </w:r>
      <w:proofErr w:type="gramEnd"/>
      <w:r>
        <w:t>“</w:t>
      </w:r>
      <w:r>
        <w:rPr>
          <w:rFonts w:hint="eastAsia"/>
        </w:rPr>
        <w:t>严禁</w:t>
      </w:r>
      <w:r>
        <w:t>”</w:t>
      </w:r>
      <w:r>
        <w:rPr>
          <w:rFonts w:hint="eastAsia"/>
        </w:rPr>
        <w:t>；</w:t>
      </w:r>
    </w:p>
    <w:p w14:paraId="3F123DE1" w14:textId="77777777" w:rsidR="00622EE7" w:rsidRDefault="00E60909">
      <w:pPr>
        <w:pStyle w:val="af8"/>
        <w:ind w:firstLine="482"/>
      </w:pPr>
      <w:r>
        <w:rPr>
          <w:b/>
        </w:rPr>
        <w:t xml:space="preserve">2  </w:t>
      </w:r>
      <w:r>
        <w:rPr>
          <w:rFonts w:hint="eastAsia"/>
        </w:rPr>
        <w:t>表示严格，在正常情况下均应这样做的：</w:t>
      </w:r>
    </w:p>
    <w:p w14:paraId="39DCB961" w14:textId="77777777" w:rsidR="00622EE7" w:rsidRDefault="00E60909">
      <w:pPr>
        <w:pStyle w:val="af8"/>
        <w:ind w:firstLine="480"/>
      </w:pPr>
      <w:r>
        <w:t xml:space="preserve">   </w:t>
      </w:r>
      <w:r>
        <w:rPr>
          <w:rFonts w:hint="eastAsia"/>
        </w:rPr>
        <w:t>正面</w:t>
      </w:r>
      <w:proofErr w:type="gramStart"/>
      <w:r>
        <w:rPr>
          <w:rFonts w:hint="eastAsia"/>
        </w:rPr>
        <w:t>词采用</w:t>
      </w:r>
      <w:proofErr w:type="gramEnd"/>
      <w:r>
        <w:t>“</w:t>
      </w:r>
      <w:r>
        <w:rPr>
          <w:rFonts w:hint="eastAsia"/>
        </w:rPr>
        <w:t>应</w:t>
      </w:r>
      <w:r>
        <w:t>”</w:t>
      </w:r>
      <w:r>
        <w:rPr>
          <w:rFonts w:hint="eastAsia"/>
        </w:rPr>
        <w:t>，反面</w:t>
      </w:r>
      <w:proofErr w:type="gramStart"/>
      <w:r>
        <w:rPr>
          <w:rFonts w:hint="eastAsia"/>
        </w:rPr>
        <w:t>词采用</w:t>
      </w:r>
      <w:proofErr w:type="gramEnd"/>
      <w:r>
        <w:t>“</w:t>
      </w:r>
      <w:r>
        <w:rPr>
          <w:rFonts w:hint="eastAsia"/>
        </w:rPr>
        <w:t>不应</w:t>
      </w:r>
      <w:r>
        <w:t>”</w:t>
      </w:r>
      <w:r>
        <w:rPr>
          <w:rFonts w:hint="eastAsia"/>
        </w:rPr>
        <w:t>或</w:t>
      </w:r>
      <w:r>
        <w:t>“</w:t>
      </w:r>
      <w:r>
        <w:rPr>
          <w:rFonts w:hint="eastAsia"/>
        </w:rPr>
        <w:t>不得</w:t>
      </w:r>
      <w:r>
        <w:t>”</w:t>
      </w:r>
      <w:r>
        <w:rPr>
          <w:rFonts w:hint="eastAsia"/>
        </w:rPr>
        <w:t>；</w:t>
      </w:r>
    </w:p>
    <w:p w14:paraId="63C09381" w14:textId="77777777" w:rsidR="00622EE7" w:rsidRDefault="00E60909">
      <w:pPr>
        <w:pStyle w:val="af8"/>
        <w:ind w:firstLine="482"/>
      </w:pPr>
      <w:r>
        <w:rPr>
          <w:b/>
        </w:rPr>
        <w:t xml:space="preserve">3  </w:t>
      </w:r>
      <w:r>
        <w:rPr>
          <w:rFonts w:hint="eastAsia"/>
        </w:rPr>
        <w:t>表示允许稍有选择，在条件许可时首先应这样做的：</w:t>
      </w:r>
    </w:p>
    <w:p w14:paraId="6DE7B0D3" w14:textId="77777777" w:rsidR="00622EE7" w:rsidRDefault="00E60909">
      <w:pPr>
        <w:pStyle w:val="af8"/>
        <w:ind w:firstLineChars="300" w:firstLine="720"/>
      </w:pPr>
      <w:r>
        <w:rPr>
          <w:rFonts w:hint="eastAsia"/>
        </w:rPr>
        <w:t>正面</w:t>
      </w:r>
      <w:proofErr w:type="gramStart"/>
      <w:r>
        <w:rPr>
          <w:rFonts w:hint="eastAsia"/>
        </w:rPr>
        <w:t>词采用</w:t>
      </w:r>
      <w:proofErr w:type="gramEnd"/>
      <w:r>
        <w:t>“</w:t>
      </w:r>
      <w:r>
        <w:rPr>
          <w:rFonts w:hint="eastAsia"/>
        </w:rPr>
        <w:t>宜</w:t>
      </w:r>
      <w:r>
        <w:t>”</w:t>
      </w:r>
      <w:r>
        <w:rPr>
          <w:rFonts w:hint="eastAsia"/>
        </w:rPr>
        <w:t>，反面</w:t>
      </w:r>
      <w:proofErr w:type="gramStart"/>
      <w:r>
        <w:rPr>
          <w:rFonts w:hint="eastAsia"/>
        </w:rPr>
        <w:t>词采用</w:t>
      </w:r>
      <w:proofErr w:type="gramEnd"/>
      <w:r>
        <w:t>“</w:t>
      </w:r>
      <w:r>
        <w:rPr>
          <w:rFonts w:hint="eastAsia"/>
        </w:rPr>
        <w:t>不宜</w:t>
      </w:r>
      <w:r>
        <w:t>”</w:t>
      </w:r>
      <w:r>
        <w:rPr>
          <w:rFonts w:hint="eastAsia"/>
        </w:rPr>
        <w:t>；</w:t>
      </w:r>
    </w:p>
    <w:p w14:paraId="6C777D3E" w14:textId="77777777" w:rsidR="00622EE7" w:rsidRDefault="00E60909">
      <w:pPr>
        <w:pStyle w:val="af8"/>
        <w:ind w:firstLine="482"/>
      </w:pPr>
      <w:r>
        <w:rPr>
          <w:b/>
        </w:rPr>
        <w:t xml:space="preserve">4  </w:t>
      </w:r>
      <w:r>
        <w:rPr>
          <w:rFonts w:hint="eastAsia"/>
        </w:rPr>
        <w:t>表示有选择，在一定条件下可以这样做的，采用</w:t>
      </w:r>
      <w:r>
        <w:t>“</w:t>
      </w:r>
      <w:r>
        <w:rPr>
          <w:rFonts w:hint="eastAsia"/>
        </w:rPr>
        <w:t>可</w:t>
      </w:r>
      <w:r>
        <w:t>”</w:t>
      </w:r>
      <w:r>
        <w:rPr>
          <w:rFonts w:hint="eastAsia"/>
        </w:rPr>
        <w:t>。</w:t>
      </w:r>
    </w:p>
    <w:p w14:paraId="3F0CB79F" w14:textId="77777777" w:rsidR="00622EE7" w:rsidRDefault="00E60909">
      <w:r>
        <w:br w:type="page"/>
      </w:r>
    </w:p>
    <w:p w14:paraId="65ED3197" w14:textId="77777777" w:rsidR="00622EE7" w:rsidRDefault="00E60909">
      <w:pPr>
        <w:pStyle w:val="1"/>
      </w:pPr>
      <w:bookmarkStart w:id="82" w:name="_Toc182841385"/>
      <w:bookmarkStart w:id="83" w:name="_Toc179988266"/>
      <w:r>
        <w:rPr>
          <w:rFonts w:hint="eastAsia"/>
        </w:rPr>
        <w:lastRenderedPageBreak/>
        <w:t>引用标准名录</w:t>
      </w:r>
      <w:bookmarkEnd w:id="82"/>
      <w:bookmarkEnd w:id="83"/>
    </w:p>
    <w:p w14:paraId="57945E19"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《建筑节能与可再生能源利用通用规范》</w:t>
      </w:r>
      <w:r>
        <w:rPr>
          <w:rFonts w:ascii="Times New Roman" w:hAnsi="Times New Roman"/>
        </w:rPr>
        <w:t>GB 55015</w:t>
      </w:r>
    </w:p>
    <w:p w14:paraId="71EAC2AA"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《建筑与市政工程防水通用规范》</w:t>
      </w:r>
      <w:r>
        <w:rPr>
          <w:rFonts w:ascii="Times New Roman" w:hAnsi="Times New Roman"/>
        </w:rPr>
        <w:t>GB 55030</w:t>
      </w:r>
    </w:p>
    <w:p w14:paraId="563AEEF0"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《建筑防火通用规范》</w:t>
      </w:r>
      <w:r>
        <w:rPr>
          <w:rFonts w:ascii="Times New Roman" w:hAnsi="Times New Roman"/>
        </w:rPr>
        <w:t>GB 55037</w:t>
      </w:r>
    </w:p>
    <w:p w14:paraId="2DED5EB5"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《民用建筑通用规范》</w:t>
      </w:r>
      <w:r>
        <w:rPr>
          <w:rFonts w:ascii="Times New Roman" w:hAnsi="Times New Roman"/>
        </w:rPr>
        <w:t>GB 55031</w:t>
      </w:r>
    </w:p>
    <w:p w14:paraId="0657005A"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《消防设施通用规范》</w:t>
      </w:r>
      <w:r>
        <w:rPr>
          <w:rFonts w:ascii="Times New Roman" w:hAnsi="Times New Roman"/>
        </w:rPr>
        <w:t>GB 55036</w:t>
      </w:r>
    </w:p>
    <w:p w14:paraId="52B531D2"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《建筑防火通用规范》</w:t>
      </w:r>
      <w:r>
        <w:rPr>
          <w:rFonts w:ascii="Times New Roman" w:hAnsi="Times New Roman"/>
        </w:rPr>
        <w:t>GB 55037</w:t>
      </w:r>
    </w:p>
    <w:p w14:paraId="0C4516D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《建筑给水排水设计标准》</w:t>
      </w:r>
      <w:r>
        <w:rPr>
          <w:rFonts w:ascii="Times New Roman" w:hAnsi="Times New Roman"/>
        </w:rPr>
        <w:t>GB 50015</w:t>
      </w:r>
    </w:p>
    <w:p w14:paraId="5188F504"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《建筑设计防火规范》</w:t>
      </w:r>
      <w:r>
        <w:rPr>
          <w:rFonts w:ascii="Times New Roman" w:hAnsi="Times New Roman"/>
        </w:rPr>
        <w:t>GB 50016</w:t>
      </w:r>
    </w:p>
    <w:p w14:paraId="0E2C70EC"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《汽车库、修车库、停车场设计防火规范》</w:t>
      </w:r>
      <w:r>
        <w:rPr>
          <w:rFonts w:ascii="Times New Roman" w:hAnsi="Times New Roman"/>
        </w:rPr>
        <w:t>GB 50067</w:t>
      </w:r>
    </w:p>
    <w:p w14:paraId="59F4D8BD"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《自动喷水灭火系统设计规范》</w:t>
      </w:r>
      <w:r>
        <w:rPr>
          <w:rFonts w:ascii="Times New Roman" w:hAnsi="Times New Roman"/>
        </w:rPr>
        <w:t>GB 50084</w:t>
      </w:r>
    </w:p>
    <w:p w14:paraId="212B9DA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《建筑灭火器配置设计规范》</w:t>
      </w:r>
      <w:r>
        <w:rPr>
          <w:rFonts w:ascii="Times New Roman" w:hAnsi="Times New Roman"/>
        </w:rPr>
        <w:t>GB 50140</w:t>
      </w:r>
    </w:p>
    <w:p w14:paraId="214CFFF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《民用建筑工程室内环境污染控制规范》</w:t>
      </w:r>
      <w:r>
        <w:rPr>
          <w:rFonts w:ascii="Times New Roman" w:hAnsi="Times New Roman"/>
        </w:rPr>
        <w:t>GB 50325</w:t>
      </w:r>
    </w:p>
    <w:p w14:paraId="22039153"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《民用建筑节水设计标准》</w:t>
      </w:r>
      <w:r>
        <w:rPr>
          <w:rFonts w:ascii="Times New Roman" w:hAnsi="Times New Roman"/>
        </w:rPr>
        <w:t>GB 50555</w:t>
      </w:r>
    </w:p>
    <w:p w14:paraId="7DEAEFA5"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《消防给水及消火栓系统技术规范》</w:t>
      </w:r>
      <w:r>
        <w:rPr>
          <w:rFonts w:ascii="Times New Roman" w:hAnsi="Times New Roman"/>
        </w:rPr>
        <w:t>GB 50974</w:t>
      </w:r>
    </w:p>
    <w:p w14:paraId="38F88C9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《建筑防烟排烟系统技术标准》</w:t>
      </w:r>
      <w:r>
        <w:rPr>
          <w:rFonts w:ascii="Times New Roman" w:hAnsi="Times New Roman"/>
        </w:rPr>
        <w:t>GB 51251</w:t>
      </w:r>
    </w:p>
    <w:p w14:paraId="32377705"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《装配式混凝土建筑技术标准》</w:t>
      </w:r>
      <w:r>
        <w:rPr>
          <w:rFonts w:ascii="Times New Roman" w:hAnsi="Times New Roman"/>
        </w:rPr>
        <w:t>GB/T 51231</w:t>
      </w:r>
    </w:p>
    <w:p w14:paraId="14DDCAB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《消防应急照明和疏散指示系统技术标准》</w:t>
      </w:r>
      <w:r>
        <w:rPr>
          <w:rFonts w:ascii="Times New Roman" w:hAnsi="Times New Roman"/>
        </w:rPr>
        <w:t>GB 51309</w:t>
      </w:r>
    </w:p>
    <w:p w14:paraId="1BB5B3E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《电动汽车分散充电设施工程技术标准》</w:t>
      </w:r>
      <w:r>
        <w:rPr>
          <w:rFonts w:ascii="Times New Roman" w:hAnsi="Times New Roman"/>
        </w:rPr>
        <w:t>GB/T 51313</w:t>
      </w:r>
    </w:p>
    <w:p w14:paraId="24C38953"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《近零能耗建筑技术标准》</w:t>
      </w:r>
      <w:r>
        <w:rPr>
          <w:rFonts w:ascii="Times New Roman" w:hAnsi="Times New Roman"/>
        </w:rPr>
        <w:t>GB/T 51350-2019</w:t>
      </w:r>
    </w:p>
    <w:p w14:paraId="7C77F7E9"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《建筑碳排放计算标准》</w:t>
      </w:r>
      <w:r>
        <w:rPr>
          <w:rFonts w:ascii="Times New Roman" w:hAnsi="Times New Roman"/>
        </w:rPr>
        <w:t>GB/T 51366</w:t>
      </w:r>
    </w:p>
    <w:p w14:paraId="216E9FC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《建筑材料放射性核素限量》</w:t>
      </w:r>
      <w:r>
        <w:rPr>
          <w:rFonts w:ascii="Times New Roman" w:hAnsi="Times New Roman"/>
        </w:rPr>
        <w:t>GB 6566</w:t>
      </w:r>
    </w:p>
    <w:p w14:paraId="2BF4722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《节水型产品通用技术条件》</w:t>
      </w:r>
      <w:r>
        <w:rPr>
          <w:rFonts w:ascii="Times New Roman" w:hAnsi="Times New Roman"/>
        </w:rPr>
        <w:t>GB/T 18870</w:t>
      </w:r>
    </w:p>
    <w:p w14:paraId="5BCB37D9"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《室内空气质量标准》</w:t>
      </w:r>
      <w:r>
        <w:rPr>
          <w:rFonts w:ascii="Times New Roman" w:hAnsi="Times New Roman"/>
        </w:rPr>
        <w:t>GB/T 18883</w:t>
      </w:r>
    </w:p>
    <w:p w14:paraId="1E2A7433"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《家用燃气快速热水器和燃气采暖热水炉能效限定值及能效等级》</w:t>
      </w:r>
      <w:r>
        <w:rPr>
          <w:rFonts w:ascii="Times New Roman" w:hAnsi="Times New Roman"/>
        </w:rPr>
        <w:t>GB 20665</w:t>
      </w:r>
    </w:p>
    <w:p w14:paraId="5DB87F60" w14:textId="77777777" w:rsidR="00622EE7" w:rsidRDefault="00E60909">
      <w:pPr>
        <w:spacing w:line="360" w:lineRule="auto"/>
        <w:ind w:firstLineChars="200" w:firstLine="480"/>
        <w:rPr>
          <w:rFonts w:ascii="Times New Roman" w:hAnsi="Times New Roman"/>
        </w:rPr>
      </w:pPr>
      <w:r>
        <w:rPr>
          <w:rFonts w:ascii="Times New Roman" w:hAnsi="Times New Roman" w:hint="eastAsia"/>
        </w:rPr>
        <w:t>《绿色产品评价</w:t>
      </w:r>
      <w:r>
        <w:rPr>
          <w:rFonts w:ascii="Times New Roman" w:hAnsi="Times New Roman"/>
        </w:rPr>
        <w:t xml:space="preserve"> </w:t>
      </w:r>
      <w:r>
        <w:rPr>
          <w:rFonts w:ascii="Times New Roman" w:hAnsi="Times New Roman" w:hint="eastAsia"/>
        </w:rPr>
        <w:t>防水与密封材料》</w:t>
      </w:r>
      <w:r>
        <w:rPr>
          <w:rFonts w:ascii="Times New Roman" w:hAnsi="Times New Roman"/>
        </w:rPr>
        <w:t>GB/T 35609</w:t>
      </w:r>
    </w:p>
    <w:p w14:paraId="09FB5E3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《建筑玻璃应用技术规程》</w:t>
      </w:r>
      <w:r>
        <w:rPr>
          <w:rFonts w:ascii="Times New Roman" w:hAnsi="Times New Roman"/>
        </w:rPr>
        <w:t>JGJ 113</w:t>
      </w:r>
    </w:p>
    <w:p w14:paraId="0B5A43BE" w14:textId="77777777" w:rsidR="00622EE7" w:rsidRDefault="00E60909">
      <w:pPr>
        <w:spacing w:line="360" w:lineRule="auto"/>
        <w:ind w:firstLineChars="200" w:firstLine="480"/>
        <w:rPr>
          <w:rFonts w:ascii="Times New Roman" w:hAnsi="Times New Roman"/>
        </w:rPr>
      </w:pPr>
      <w:r>
        <w:rPr>
          <w:rFonts w:ascii="Times New Roman" w:hAnsi="Times New Roman" w:hint="eastAsia"/>
        </w:rPr>
        <w:lastRenderedPageBreak/>
        <w:t>《外墙外保温工程技术标准》</w:t>
      </w:r>
      <w:r>
        <w:rPr>
          <w:rFonts w:ascii="Times New Roman" w:hAnsi="Times New Roman"/>
        </w:rPr>
        <w:t>JGJ 144</w:t>
      </w:r>
    </w:p>
    <w:p w14:paraId="20E588B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《钢丝网架混凝土复合板结构技术规程》</w:t>
      </w:r>
      <w:r>
        <w:rPr>
          <w:rFonts w:ascii="Times New Roman" w:hAnsi="Times New Roman"/>
        </w:rPr>
        <w:t>JGJ/T 273</w:t>
      </w:r>
    </w:p>
    <w:p w14:paraId="20BBCE1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《自保温混凝土复合砌块墙体应用技术规程》</w:t>
      </w:r>
      <w:r>
        <w:rPr>
          <w:rFonts w:ascii="Times New Roman" w:hAnsi="Times New Roman"/>
        </w:rPr>
        <w:t xml:space="preserve">JGJ/T 323 </w:t>
      </w:r>
    </w:p>
    <w:p w14:paraId="5FDF40B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《保温防火复合板应用技术规程》</w:t>
      </w:r>
      <w:r>
        <w:rPr>
          <w:rFonts w:ascii="Times New Roman" w:hAnsi="Times New Roman"/>
        </w:rPr>
        <w:t>JGJ/T 350</w:t>
      </w:r>
    </w:p>
    <w:p w14:paraId="12C2BB4C"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《建筑地面工程防滑技术规程》</w:t>
      </w:r>
      <w:r>
        <w:rPr>
          <w:rFonts w:ascii="Times New Roman" w:hAnsi="Times New Roman"/>
        </w:rPr>
        <w:t>JGJ/T 3</w:t>
      </w:r>
      <w:r>
        <w:rPr>
          <w:rFonts w:ascii="Times New Roman" w:hAnsi="Times New Roman"/>
        </w:rPr>
        <w:t>31</w:t>
      </w:r>
    </w:p>
    <w:p w14:paraId="53980E07" w14:textId="77777777" w:rsidR="00622EE7" w:rsidRDefault="00E60909">
      <w:pPr>
        <w:spacing w:line="360" w:lineRule="auto"/>
        <w:ind w:firstLineChars="200" w:firstLine="480"/>
        <w:rPr>
          <w:rFonts w:ascii="Times New Roman" w:hAnsi="Times New Roman"/>
        </w:rPr>
      </w:pPr>
      <w:r>
        <w:rPr>
          <w:rFonts w:ascii="Times New Roman" w:hAnsi="Times New Roman" w:hint="eastAsia"/>
        </w:rPr>
        <w:t>《住宅室内装饰装修设计规范》</w:t>
      </w:r>
      <w:r>
        <w:rPr>
          <w:rFonts w:ascii="Times New Roman" w:hAnsi="Times New Roman"/>
        </w:rPr>
        <w:t>JGJ 367</w:t>
      </w:r>
    </w:p>
    <w:p w14:paraId="0B5EFDF6"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《岩棉薄抹灰外墙外保温工程技术标准》</w:t>
      </w:r>
      <w:r>
        <w:rPr>
          <w:rFonts w:ascii="Times New Roman" w:hAnsi="Times New Roman"/>
        </w:rPr>
        <w:t>JGJ/T 480</w:t>
      </w:r>
    </w:p>
    <w:p w14:paraId="263D4DC6" w14:textId="77777777" w:rsidR="00622EE7" w:rsidRDefault="00E60909">
      <w:pPr>
        <w:spacing w:line="360" w:lineRule="auto"/>
        <w:ind w:firstLineChars="200" w:firstLine="480"/>
        <w:rPr>
          <w:rFonts w:ascii="Times New Roman" w:eastAsia="黑体" w:hAnsi="Times New Roman"/>
          <w:sz w:val="32"/>
          <w:szCs w:val="32"/>
        </w:rPr>
      </w:pPr>
      <w:r>
        <w:rPr>
          <w:rFonts w:ascii="Times New Roman" w:hAnsi="Times New Roman" w:hint="eastAsia"/>
        </w:rPr>
        <w:t>《节水型生活用水器具》</w:t>
      </w:r>
      <w:r>
        <w:rPr>
          <w:rFonts w:ascii="Times New Roman" w:hAnsi="Times New Roman"/>
        </w:rPr>
        <w:t>CJ/T 164</w:t>
      </w:r>
    </w:p>
    <w:p w14:paraId="18DD7375" w14:textId="77777777" w:rsidR="00622EE7" w:rsidRDefault="00E60909">
      <w:pPr>
        <w:widowControl/>
      </w:pPr>
      <w:r>
        <w:br w:type="page"/>
      </w:r>
    </w:p>
    <w:p w14:paraId="02A310C5" w14:textId="77777777" w:rsidR="00622EE7" w:rsidRDefault="00622EE7">
      <w:pPr>
        <w:sectPr w:rsidR="00622EE7">
          <w:footerReference w:type="default" r:id="rId17"/>
          <w:pgSz w:w="11906" w:h="16838"/>
          <w:pgMar w:top="1418" w:right="1701" w:bottom="1418" w:left="1701" w:header="851" w:footer="992" w:gutter="0"/>
          <w:pgNumType w:start="1"/>
          <w:cols w:space="425"/>
          <w:docGrid w:type="lines" w:linePitch="326"/>
        </w:sectPr>
      </w:pPr>
    </w:p>
    <w:p w14:paraId="44C7110F" w14:textId="77777777" w:rsidR="00622EE7" w:rsidRDefault="00622EE7">
      <w:pPr>
        <w:rPr>
          <w:rFonts w:ascii="黑体" w:eastAsia="黑体" w:hAnsi="黑体"/>
          <w:sz w:val="28"/>
          <w:szCs w:val="28"/>
        </w:rPr>
      </w:pPr>
      <w:bookmarkStart w:id="84" w:name="_Toc181092566"/>
    </w:p>
    <w:p w14:paraId="23E64ED6" w14:textId="77777777" w:rsidR="00622EE7" w:rsidRDefault="00622EE7">
      <w:pPr>
        <w:rPr>
          <w:rFonts w:ascii="黑体" w:eastAsia="黑体" w:hAnsi="黑体"/>
          <w:sz w:val="28"/>
          <w:szCs w:val="28"/>
        </w:rPr>
      </w:pPr>
    </w:p>
    <w:p w14:paraId="556B1ED0" w14:textId="77777777" w:rsidR="00622EE7" w:rsidRDefault="00622EE7">
      <w:pPr>
        <w:jc w:val="center"/>
        <w:rPr>
          <w:sz w:val="28"/>
          <w:szCs w:val="28"/>
        </w:rPr>
      </w:pPr>
    </w:p>
    <w:p w14:paraId="0989FED0" w14:textId="77777777" w:rsidR="00622EE7" w:rsidRDefault="00E60909">
      <w:pPr>
        <w:jc w:val="center"/>
        <w:rPr>
          <w:rFonts w:ascii="宋体" w:hAnsi="宋体"/>
          <w:b/>
          <w:sz w:val="36"/>
          <w:szCs w:val="48"/>
        </w:rPr>
      </w:pPr>
      <w:r>
        <w:rPr>
          <w:rFonts w:ascii="宋体" w:hAnsi="宋体" w:hint="eastAsia"/>
          <w:b/>
          <w:sz w:val="36"/>
          <w:szCs w:val="48"/>
        </w:rPr>
        <w:t>康巴什区高品质住宅小区建设技术导则</w:t>
      </w:r>
    </w:p>
    <w:p w14:paraId="0E011E99" w14:textId="77777777" w:rsidR="00622EE7" w:rsidRDefault="00622EE7">
      <w:pPr>
        <w:rPr>
          <w:sz w:val="28"/>
          <w:szCs w:val="28"/>
        </w:rPr>
      </w:pPr>
    </w:p>
    <w:p w14:paraId="5BFF8D6D" w14:textId="77777777" w:rsidR="00622EE7" w:rsidRDefault="00E60909">
      <w:pPr>
        <w:keepNext/>
        <w:keepLines/>
        <w:spacing w:before="360" w:after="360"/>
        <w:jc w:val="center"/>
        <w:outlineLvl w:val="0"/>
        <w:rPr>
          <w:rFonts w:eastAsia="等线"/>
          <w:b/>
          <w:bCs/>
          <w:kern w:val="44"/>
          <w:szCs w:val="44"/>
          <w:lang w:val="zh-CN"/>
        </w:rPr>
      </w:pPr>
      <w:bookmarkStart w:id="85" w:name="_Toc173235396"/>
      <w:bookmarkStart w:id="86" w:name="_Toc88757758"/>
      <w:bookmarkStart w:id="87" w:name="_Toc69133580"/>
      <w:bookmarkStart w:id="88" w:name="_Toc86768408"/>
      <w:bookmarkStart w:id="89" w:name="_Toc182841386"/>
      <w:bookmarkStart w:id="90" w:name="_Toc89333797"/>
      <w:bookmarkStart w:id="91" w:name="_Toc26576"/>
      <w:bookmarkStart w:id="92" w:name="_Toc66978839"/>
      <w:bookmarkStart w:id="93" w:name="_Toc173229017"/>
      <w:bookmarkStart w:id="94" w:name="_Toc253"/>
      <w:bookmarkStart w:id="95" w:name="_Toc29346"/>
      <w:bookmarkStart w:id="96" w:name="_Toc163552365"/>
      <w:bookmarkStart w:id="97" w:name="_Toc88759075"/>
      <w:bookmarkStart w:id="98" w:name="_Toc22290340"/>
      <w:bookmarkStart w:id="99" w:name="_Toc69138748"/>
      <w:bookmarkStart w:id="100" w:name="_Toc14262"/>
      <w:bookmarkStart w:id="101" w:name="_Toc86427308"/>
      <w:bookmarkStart w:id="102" w:name="_Toc24921"/>
      <w:bookmarkStart w:id="103" w:name="_Toc179988267"/>
      <w:bookmarkStart w:id="104" w:name="_Toc115181104"/>
      <w:bookmarkStart w:id="105" w:name="_Toc19932"/>
      <w:bookmarkStart w:id="106" w:name="_Toc11241"/>
      <w:r>
        <w:rPr>
          <w:rFonts w:ascii="Calibri" w:hAnsi="Calibri" w:hint="eastAsia"/>
          <w:b/>
          <w:bCs/>
          <w:kern w:val="44"/>
          <w:sz w:val="36"/>
          <w:szCs w:val="28"/>
          <w:lang w:val="zh-CN"/>
        </w:rPr>
        <w:t>条</w:t>
      </w:r>
      <w:r>
        <w:rPr>
          <w:rFonts w:ascii="Calibri" w:hAnsi="Calibri"/>
          <w:b/>
          <w:bCs/>
          <w:kern w:val="44"/>
          <w:sz w:val="36"/>
          <w:szCs w:val="28"/>
          <w:lang w:val="zh-CN"/>
        </w:rPr>
        <w:t xml:space="preserve"> </w:t>
      </w:r>
      <w:r>
        <w:rPr>
          <w:rFonts w:ascii="Calibri" w:hAnsi="Calibri" w:hint="eastAsia"/>
          <w:b/>
          <w:bCs/>
          <w:kern w:val="44"/>
          <w:sz w:val="36"/>
          <w:szCs w:val="28"/>
          <w:lang w:val="zh-CN"/>
        </w:rPr>
        <w:t>文</w:t>
      </w:r>
      <w:r>
        <w:rPr>
          <w:rFonts w:ascii="Calibri" w:hAnsi="Calibri"/>
          <w:b/>
          <w:bCs/>
          <w:kern w:val="44"/>
          <w:sz w:val="36"/>
          <w:szCs w:val="28"/>
          <w:lang w:val="zh-CN"/>
        </w:rPr>
        <w:t xml:space="preserve"> </w:t>
      </w:r>
      <w:r>
        <w:rPr>
          <w:rFonts w:ascii="Calibri" w:hAnsi="Calibri" w:hint="eastAsia"/>
          <w:b/>
          <w:bCs/>
          <w:kern w:val="44"/>
          <w:sz w:val="36"/>
          <w:szCs w:val="28"/>
          <w:lang w:val="zh-CN"/>
        </w:rPr>
        <w:t>说</w:t>
      </w:r>
      <w:r>
        <w:rPr>
          <w:rFonts w:ascii="Calibri" w:hAnsi="Calibri"/>
          <w:b/>
          <w:bCs/>
          <w:kern w:val="44"/>
          <w:sz w:val="36"/>
          <w:szCs w:val="28"/>
          <w:lang w:val="zh-CN"/>
        </w:rPr>
        <w:t xml:space="preserve"> </w:t>
      </w:r>
      <w:r>
        <w:rPr>
          <w:rFonts w:ascii="Calibri" w:hAnsi="Calibri" w:hint="eastAsia"/>
          <w:b/>
          <w:bCs/>
          <w:kern w:val="44"/>
          <w:sz w:val="36"/>
          <w:szCs w:val="28"/>
          <w:lang w:val="zh-CN"/>
        </w:rPr>
        <w:t>明</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75E17120" w14:textId="77777777" w:rsidR="00622EE7" w:rsidRDefault="00622EE7">
      <w:pPr>
        <w:spacing w:line="360" w:lineRule="auto"/>
        <w:rPr>
          <w:rFonts w:ascii="宋体" w:hAnsi="宋体"/>
          <w:sz w:val="28"/>
          <w:szCs w:val="28"/>
        </w:rPr>
      </w:pPr>
    </w:p>
    <w:p w14:paraId="64BDD35B" w14:textId="77777777" w:rsidR="00622EE7" w:rsidRDefault="00622EE7"/>
    <w:p w14:paraId="61623847" w14:textId="77777777" w:rsidR="00622EE7" w:rsidRDefault="00622EE7"/>
    <w:p w14:paraId="1015DD0E" w14:textId="77777777" w:rsidR="00622EE7" w:rsidRDefault="00622EE7"/>
    <w:p w14:paraId="31CE0CB9" w14:textId="77777777" w:rsidR="00622EE7" w:rsidRDefault="00622EE7">
      <w:pPr>
        <w:widowControl/>
      </w:pPr>
    </w:p>
    <w:p w14:paraId="48CAD63F" w14:textId="77777777" w:rsidR="00622EE7" w:rsidRDefault="00E60909">
      <w:pPr>
        <w:widowControl/>
        <w:rPr>
          <w:rFonts w:ascii="Times New Roman" w:hAnsi="Times New Roman"/>
          <w:b/>
          <w:bCs/>
          <w:kern w:val="44"/>
          <w:sz w:val="30"/>
          <w:szCs w:val="44"/>
        </w:rPr>
      </w:pPr>
      <w:r>
        <w:br w:type="page"/>
      </w:r>
    </w:p>
    <w:p w14:paraId="2889FBD7" w14:textId="77777777" w:rsidR="00622EE7" w:rsidRDefault="00E60909">
      <w:pPr>
        <w:pStyle w:val="1"/>
      </w:pPr>
      <w:bookmarkStart w:id="107" w:name="_Toc182841387"/>
      <w:r>
        <w:lastRenderedPageBreak/>
        <w:t xml:space="preserve">3  </w:t>
      </w:r>
      <w:r>
        <w:rPr>
          <w:rFonts w:hint="eastAsia"/>
        </w:rPr>
        <w:t>基本规定</w:t>
      </w:r>
      <w:bookmarkEnd w:id="84"/>
      <w:bookmarkEnd w:id="107"/>
    </w:p>
    <w:p w14:paraId="508F2F7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3.0.1  </w:t>
      </w:r>
      <w:r>
        <w:rPr>
          <w:rFonts w:ascii="Times New Roman" w:eastAsia="宋体" w:hAnsi="Times New Roman"/>
          <w:color w:val="auto"/>
        </w:rPr>
        <w:t>高品质住宅小区的评定应符合鄂尔多斯市《高品质小区评价标准》的要求。在小区规划建设之初，应根据项目的具体情况和</w:t>
      </w:r>
      <w:proofErr w:type="gramStart"/>
      <w:r>
        <w:rPr>
          <w:rFonts w:ascii="Times New Roman" w:eastAsia="宋体" w:hAnsi="Times New Roman"/>
          <w:color w:val="auto"/>
        </w:rPr>
        <w:t>拟达成</w:t>
      </w:r>
      <w:proofErr w:type="gramEnd"/>
      <w:r>
        <w:rPr>
          <w:rFonts w:ascii="Times New Roman" w:eastAsia="宋体" w:hAnsi="Times New Roman"/>
          <w:color w:val="auto"/>
        </w:rPr>
        <w:t>的等级目标，对照各级</w:t>
      </w:r>
      <w:proofErr w:type="gramStart"/>
      <w:r>
        <w:rPr>
          <w:rFonts w:ascii="Times New Roman" w:eastAsia="宋体" w:hAnsi="Times New Roman"/>
          <w:color w:val="auto"/>
        </w:rPr>
        <w:t>别要求</w:t>
      </w:r>
      <w:proofErr w:type="gramEnd"/>
      <w:r>
        <w:rPr>
          <w:rFonts w:ascii="Times New Roman" w:eastAsia="宋体" w:hAnsi="Times New Roman"/>
          <w:color w:val="auto"/>
        </w:rPr>
        <w:t>进行策划。尤其是当小区建设对标三星级高品质小区时，应评估技术适用性、资源匹配性并进行技术措施的选择和实施。</w:t>
      </w:r>
    </w:p>
    <w:p w14:paraId="201D93B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3.0.2~3.0.4 </w:t>
      </w:r>
      <w:r>
        <w:rPr>
          <w:rFonts w:ascii="Times New Roman" w:eastAsia="宋体" w:hAnsi="Times New Roman"/>
          <w:color w:val="auto"/>
        </w:rPr>
        <w:t xml:space="preserve"> </w:t>
      </w:r>
      <w:r>
        <w:rPr>
          <w:rFonts w:ascii="Times New Roman" w:eastAsia="宋体" w:hAnsi="Times New Roman"/>
          <w:color w:val="auto"/>
        </w:rPr>
        <w:t>高品质小区应在规划设计阶段明确</w:t>
      </w:r>
      <w:proofErr w:type="gramStart"/>
      <w:r>
        <w:rPr>
          <w:rFonts w:ascii="Times New Roman" w:eastAsia="宋体" w:hAnsi="Times New Roman"/>
          <w:color w:val="auto"/>
        </w:rPr>
        <w:t>小区拟评等级</w:t>
      </w:r>
      <w:proofErr w:type="gramEnd"/>
      <w:r>
        <w:rPr>
          <w:rFonts w:ascii="Times New Roman" w:eastAsia="宋体" w:hAnsi="Times New Roman"/>
          <w:color w:val="auto"/>
        </w:rPr>
        <w:t>，并根据项目具体情况确定采取的技术策略。</w:t>
      </w:r>
      <w:proofErr w:type="gramStart"/>
      <w:r>
        <w:rPr>
          <w:rFonts w:ascii="Times New Roman" w:eastAsia="宋体" w:hAnsi="Times New Roman"/>
          <w:color w:val="auto"/>
        </w:rPr>
        <w:t>一</w:t>
      </w:r>
      <w:proofErr w:type="gramEnd"/>
      <w:r>
        <w:rPr>
          <w:rFonts w:ascii="Times New Roman" w:eastAsia="宋体" w:hAnsi="Times New Roman"/>
          <w:color w:val="auto"/>
        </w:rPr>
        <w:t>星级高品质小区</w:t>
      </w:r>
      <w:r>
        <w:rPr>
          <w:rFonts w:ascii="Times New Roman" w:eastAsia="宋体" w:hAnsi="Times New Roman" w:hint="eastAsia"/>
          <w:color w:val="auto"/>
        </w:rPr>
        <w:t>对</w:t>
      </w:r>
      <w:proofErr w:type="gramStart"/>
      <w:r>
        <w:rPr>
          <w:rFonts w:ascii="Times New Roman" w:eastAsia="宋体" w:hAnsi="Times New Roman" w:hint="eastAsia"/>
          <w:color w:val="auto"/>
        </w:rPr>
        <w:t>标</w:t>
      </w:r>
      <w:r>
        <w:rPr>
          <w:rFonts w:ascii="Times New Roman" w:eastAsia="宋体" w:hAnsi="Times New Roman"/>
          <w:color w:val="auto"/>
        </w:rPr>
        <w:t>当前</w:t>
      </w:r>
      <w:proofErr w:type="gramEnd"/>
      <w:r>
        <w:rPr>
          <w:rFonts w:ascii="Times New Roman" w:eastAsia="宋体" w:hAnsi="Times New Roman" w:hint="eastAsia"/>
          <w:color w:val="auto"/>
        </w:rPr>
        <w:t>地区发展的较高</w:t>
      </w:r>
      <w:r>
        <w:rPr>
          <w:rFonts w:ascii="Times New Roman" w:eastAsia="宋体" w:hAnsi="Times New Roman"/>
          <w:color w:val="auto"/>
        </w:rPr>
        <w:t>水平</w:t>
      </w:r>
      <w:r>
        <w:rPr>
          <w:rFonts w:ascii="Times New Roman" w:eastAsia="宋体" w:hAnsi="Times New Roman" w:hint="eastAsia"/>
          <w:color w:val="auto"/>
        </w:rPr>
        <w:t>，</w:t>
      </w:r>
      <w:r>
        <w:rPr>
          <w:rFonts w:ascii="Times New Roman" w:eastAsia="宋体" w:hAnsi="Times New Roman"/>
          <w:color w:val="auto"/>
        </w:rPr>
        <w:t>二星级高品质小区在各专业、各环节均有所</w:t>
      </w:r>
      <w:r>
        <w:rPr>
          <w:rFonts w:ascii="Times New Roman" w:eastAsia="宋体" w:hAnsi="Times New Roman"/>
          <w:bCs/>
          <w:color w:val="auto"/>
        </w:rPr>
        <w:t>突破和提升。</w:t>
      </w:r>
      <w:r>
        <w:rPr>
          <w:rFonts w:ascii="Times New Roman" w:eastAsia="宋体" w:hAnsi="Times New Roman"/>
          <w:color w:val="auto"/>
        </w:rPr>
        <w:t>三星级高品质小区</w:t>
      </w:r>
      <w:r>
        <w:rPr>
          <w:rFonts w:ascii="Times New Roman" w:eastAsia="宋体" w:hAnsi="Times New Roman" w:hint="eastAsia"/>
          <w:color w:val="auto"/>
        </w:rPr>
        <w:t>应</w:t>
      </w:r>
      <w:r>
        <w:rPr>
          <w:rFonts w:ascii="Times New Roman" w:eastAsia="宋体" w:hAnsi="Times New Roman"/>
          <w:color w:val="auto"/>
        </w:rPr>
        <w:t>至少在一个方面代表</w:t>
      </w:r>
      <w:proofErr w:type="gramStart"/>
      <w:r>
        <w:rPr>
          <w:rFonts w:ascii="Times New Roman" w:eastAsia="宋体" w:hAnsi="Times New Roman"/>
          <w:color w:val="auto"/>
        </w:rPr>
        <w:t>着</w:t>
      </w:r>
      <w:r>
        <w:rPr>
          <w:rFonts w:ascii="Times New Roman" w:eastAsia="宋体" w:hAnsi="Times New Roman"/>
          <w:bCs/>
          <w:color w:val="auto"/>
        </w:rPr>
        <w:t>住宅</w:t>
      </w:r>
      <w:proofErr w:type="gramEnd"/>
      <w:r>
        <w:rPr>
          <w:rFonts w:ascii="Times New Roman" w:eastAsia="宋体" w:hAnsi="Times New Roman"/>
          <w:bCs/>
          <w:color w:val="auto"/>
        </w:rPr>
        <w:t>科技</w:t>
      </w:r>
      <w:r>
        <w:rPr>
          <w:rFonts w:ascii="Times New Roman" w:eastAsia="宋体" w:hAnsi="Times New Roman"/>
          <w:color w:val="auto"/>
        </w:rPr>
        <w:t>的发展方向，推动</w:t>
      </w:r>
      <w:r>
        <w:rPr>
          <w:rFonts w:ascii="Times New Roman" w:eastAsia="宋体" w:hAnsi="Times New Roman"/>
          <w:color w:val="auto"/>
        </w:rPr>
        <w:t>地方技术进步，实现体系化、系统化技术进步。</w:t>
      </w:r>
    </w:p>
    <w:p w14:paraId="29B8D45C"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为了使本导则更具有易用性，本导则</w:t>
      </w:r>
      <w:r>
        <w:rPr>
          <w:rFonts w:ascii="Times New Roman" w:eastAsia="宋体" w:hAnsi="Times New Roman"/>
          <w:color w:val="auto"/>
        </w:rPr>
        <w:t>4~12</w:t>
      </w:r>
      <w:r>
        <w:rPr>
          <w:rFonts w:ascii="Times New Roman" w:eastAsia="宋体" w:hAnsi="Times New Roman"/>
          <w:color w:val="auto"/>
        </w:rPr>
        <w:t>章将条文按照基础项、品质项、提升项、创新项进行分类。以便于设计、建造各类高品质住宅小区的技术人员和管理人员参照使用。</w:t>
      </w:r>
    </w:p>
    <w:p w14:paraId="32B79115"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在使用本导则时，除因项目限制条件无法实现外，应满足对应等级的所有条文要求。尤其是如无法满足基础项，则无法通过鄂尔多斯市《高品质小区评价标准》的控制项要求或违反现行国行标的规定导致无法通过评定，但对于品质项的要求，如在项目中因为基本条件实现确有困难时，可通过实现部分提高项，补足相应的分数，达到</w:t>
      </w:r>
      <w:proofErr w:type="gramStart"/>
      <w:r>
        <w:rPr>
          <w:rFonts w:ascii="Times New Roman" w:eastAsia="宋体" w:hAnsi="Times New Roman"/>
          <w:color w:val="auto"/>
        </w:rPr>
        <w:t>一</w:t>
      </w:r>
      <w:proofErr w:type="gramEnd"/>
      <w:r>
        <w:rPr>
          <w:rFonts w:ascii="Times New Roman" w:eastAsia="宋体" w:hAnsi="Times New Roman"/>
          <w:color w:val="auto"/>
        </w:rPr>
        <w:t>星级高品质住宅的</w:t>
      </w:r>
      <w:r>
        <w:rPr>
          <w:rFonts w:ascii="Times New Roman" w:eastAsia="宋体" w:hAnsi="Times New Roman"/>
          <w:color w:val="auto"/>
        </w:rPr>
        <w:t>分值要求。有条件的项目建议遵循提升项的引导进一步提升品质。二星级、三星级高品质住宅在鄂尔多斯市《高品质小区评价标准》有更高的总分的要求，因此对于本导则中的提升项应尽量满足，三星级高品质小区还应根据项目的具体情况，评估节能减排、全装修和装配式</w:t>
      </w:r>
      <w:r>
        <w:rPr>
          <w:rFonts w:ascii="Times New Roman" w:eastAsia="宋体" w:hAnsi="Times New Roman" w:hint="eastAsia"/>
          <w:color w:val="auto"/>
        </w:rPr>
        <w:t>内</w:t>
      </w:r>
      <w:r>
        <w:rPr>
          <w:rFonts w:ascii="Times New Roman" w:eastAsia="宋体" w:hAnsi="Times New Roman"/>
          <w:color w:val="auto"/>
        </w:rPr>
        <w:t>装修、绿色和低碳建材、绿色和智慧施工、智慧小区、常态</w:t>
      </w:r>
      <w:proofErr w:type="gramStart"/>
      <w:r>
        <w:rPr>
          <w:rFonts w:ascii="Times New Roman" w:eastAsia="宋体" w:hAnsi="Times New Roman"/>
          <w:color w:val="auto"/>
        </w:rPr>
        <w:t>化运维管理</w:t>
      </w:r>
      <w:proofErr w:type="gramEnd"/>
      <w:r>
        <w:rPr>
          <w:rFonts w:ascii="Times New Roman" w:eastAsia="宋体" w:hAnsi="Times New Roman"/>
          <w:color w:val="auto"/>
        </w:rPr>
        <w:t>等方面的技术适用性和实施可行性。</w:t>
      </w:r>
    </w:p>
    <w:p w14:paraId="4745AD4B" w14:textId="77777777" w:rsidR="00622EE7" w:rsidRDefault="00622EE7">
      <w:pPr>
        <w:pStyle w:val="af5"/>
        <w:ind w:firstLineChars="200" w:firstLine="480"/>
        <w:rPr>
          <w:color w:val="auto"/>
        </w:rPr>
      </w:pPr>
    </w:p>
    <w:p w14:paraId="5715E7D8" w14:textId="77777777" w:rsidR="00622EE7" w:rsidRDefault="00622EE7">
      <w:pPr>
        <w:pStyle w:val="af5"/>
        <w:ind w:firstLineChars="200" w:firstLine="480"/>
        <w:rPr>
          <w:rFonts w:ascii="Times New Roman" w:hAnsi="Times New Roman"/>
          <w:color w:val="auto"/>
        </w:rPr>
      </w:pPr>
    </w:p>
    <w:p w14:paraId="7E6C1BE3" w14:textId="77777777" w:rsidR="00622EE7" w:rsidRDefault="00E60909">
      <w:pPr>
        <w:pStyle w:val="1"/>
      </w:pPr>
      <w:bookmarkStart w:id="108" w:name="_Toc182841388"/>
      <w:bookmarkStart w:id="109" w:name="_Toc181092567"/>
      <w:r>
        <w:lastRenderedPageBreak/>
        <w:t xml:space="preserve">4  </w:t>
      </w:r>
      <w:r>
        <w:rPr>
          <w:rFonts w:hint="eastAsia"/>
        </w:rPr>
        <w:t>技术策划</w:t>
      </w:r>
      <w:bookmarkEnd w:id="108"/>
      <w:bookmarkEnd w:id="109"/>
    </w:p>
    <w:p w14:paraId="1476CC2D" w14:textId="77777777" w:rsidR="00622EE7" w:rsidRDefault="00E60909">
      <w:pPr>
        <w:spacing w:beforeLines="50" w:before="156" w:afterLines="50" w:after="156" w:line="360" w:lineRule="auto"/>
        <w:jc w:val="center"/>
        <w:outlineLvl w:val="1"/>
        <w:rPr>
          <w:rFonts w:ascii="Times New Roman" w:eastAsia="黑体" w:hAnsi="Times New Roman"/>
        </w:rPr>
      </w:pPr>
      <w:bookmarkStart w:id="110" w:name="_Toc182841389"/>
      <w:bookmarkStart w:id="111" w:name="_Toc181092568"/>
      <w:r>
        <w:rPr>
          <w:rFonts w:ascii="Times New Roman" w:eastAsia="黑体" w:hAnsi="Times New Roman"/>
        </w:rPr>
        <w:t xml:space="preserve">4.1 </w:t>
      </w:r>
      <w:r>
        <w:rPr>
          <w:rFonts w:ascii="Times New Roman" w:eastAsia="黑体" w:hAnsi="Times New Roman" w:hint="eastAsia"/>
        </w:rPr>
        <w:t>节能减排策划</w:t>
      </w:r>
      <w:bookmarkEnd w:id="110"/>
      <w:bookmarkEnd w:id="111"/>
    </w:p>
    <w:p w14:paraId="2C83A5C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4.1.1  </w:t>
      </w:r>
      <w:r>
        <w:rPr>
          <w:rFonts w:ascii="Times New Roman" w:eastAsia="宋体" w:hAnsi="Times New Roman"/>
          <w:color w:val="auto"/>
        </w:rPr>
        <w:t>在</w:t>
      </w:r>
      <w:proofErr w:type="gramStart"/>
      <w:r>
        <w:rPr>
          <w:rFonts w:ascii="Times New Roman" w:eastAsia="宋体" w:hAnsi="Times New Roman"/>
          <w:color w:val="auto"/>
        </w:rPr>
        <w:t>实施碳达峰</w:t>
      </w:r>
      <w:proofErr w:type="gramEnd"/>
      <w:r>
        <w:rPr>
          <w:rFonts w:ascii="Times New Roman" w:eastAsia="宋体" w:hAnsi="Times New Roman"/>
          <w:color w:val="auto"/>
        </w:rPr>
        <w:t>、碳中和的国家战略的背景下，降低建筑的碳排放强度是全球应对气候变化工作的重要组成部分。降低建筑碳排放需要从全生命周期的角度考虑，因为建筑在其整个生命周期内（包括材料生产、建筑施工、运营维护直至拆除回收）都会产生碳排放。从全生命周期角度出发，可以更全面地评估和管理建筑的环境影响，通过优化设计、选用低碳材料、提高能源效率等措施，在建筑的各个环节减少碳排放，从而有助于实现建筑行业的可持续发展目标。</w:t>
      </w:r>
    </w:p>
    <w:p w14:paraId="517C7FF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4.1.3  </w:t>
      </w:r>
      <w:r>
        <w:rPr>
          <w:rFonts w:ascii="Times New Roman" w:eastAsia="宋体" w:hAnsi="Times New Roman"/>
          <w:color w:val="auto"/>
        </w:rPr>
        <w:t>现行国家标准《建筑节能与可再生能源利用通用规范》</w:t>
      </w:r>
      <w:r>
        <w:rPr>
          <w:rFonts w:ascii="Times New Roman" w:eastAsia="宋体" w:hAnsi="Times New Roman"/>
          <w:color w:val="auto"/>
        </w:rPr>
        <w:t>GB 55015</w:t>
      </w:r>
      <w:r>
        <w:rPr>
          <w:rFonts w:ascii="Times New Roman" w:eastAsia="宋体" w:hAnsi="Times New Roman"/>
          <w:color w:val="auto"/>
        </w:rPr>
        <w:t>对住宅的体型系数限值、</w:t>
      </w:r>
      <w:proofErr w:type="gramStart"/>
      <w:r>
        <w:rPr>
          <w:rFonts w:ascii="Times New Roman" w:eastAsia="宋体" w:hAnsi="Times New Roman"/>
          <w:color w:val="auto"/>
        </w:rPr>
        <w:t>窗墙</w:t>
      </w:r>
      <w:r>
        <w:rPr>
          <w:rFonts w:ascii="Times New Roman" w:eastAsia="宋体" w:hAnsi="Times New Roman"/>
          <w:color w:val="auto"/>
        </w:rPr>
        <w:t>面积</w:t>
      </w:r>
      <w:proofErr w:type="gramEnd"/>
      <w:r>
        <w:rPr>
          <w:rFonts w:ascii="Times New Roman" w:eastAsia="宋体" w:hAnsi="Times New Roman"/>
          <w:color w:val="auto"/>
        </w:rPr>
        <w:t>比、围护结构热工性能参数限值以及设备能效等内容进行了规定，应对照执行。建筑节能必须从规划设计阶段考虑其合理性。</w:t>
      </w:r>
    </w:p>
    <w:p w14:paraId="30450B8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4.1.4  </w:t>
      </w:r>
      <w:r>
        <w:rPr>
          <w:rFonts w:ascii="Times New Roman" w:eastAsia="宋体" w:hAnsi="Times New Roman"/>
          <w:color w:val="auto"/>
        </w:rPr>
        <w:t>提升供暖空调系统的冷、热源机组的性能是降低建筑供暖空调系统能耗的重要手段之一</w:t>
      </w:r>
      <w:r>
        <w:rPr>
          <w:rFonts w:ascii="Times New Roman" w:eastAsia="宋体" w:hAnsi="Times New Roman"/>
          <w:color w:val="auto"/>
        </w:rPr>
        <w:t>,</w:t>
      </w:r>
      <w:r>
        <w:rPr>
          <w:rFonts w:ascii="Times New Roman" w:eastAsia="宋体" w:hAnsi="Times New Roman"/>
          <w:color w:val="auto"/>
        </w:rPr>
        <w:t>锅炉、单元式空气调节机、风管送风式、屋顶式空气调节机组、多联式空调</w:t>
      </w:r>
      <w:r>
        <w:rPr>
          <w:rFonts w:ascii="Times New Roman" w:eastAsia="宋体" w:hAnsi="Times New Roman"/>
          <w:color w:val="auto"/>
        </w:rPr>
        <w:t>(</w:t>
      </w:r>
      <w:r>
        <w:rPr>
          <w:rFonts w:ascii="Times New Roman" w:eastAsia="宋体" w:hAnsi="Times New Roman"/>
          <w:color w:val="auto"/>
        </w:rPr>
        <w:t>热泵</w:t>
      </w:r>
      <w:r>
        <w:rPr>
          <w:rFonts w:ascii="Times New Roman" w:eastAsia="宋体" w:hAnsi="Times New Roman"/>
          <w:color w:val="auto"/>
        </w:rPr>
        <w:t>)</w:t>
      </w:r>
      <w:r>
        <w:rPr>
          <w:rFonts w:ascii="Times New Roman" w:eastAsia="宋体" w:hAnsi="Times New Roman"/>
          <w:color w:val="auto"/>
        </w:rPr>
        <w:t>机组等均推荐采用能效等级高的产品。照明系统方面：根据各房间或场所的使用功能要求来选择适合的照度指标，同时根据项目的实际定位进行调整，进行合理的照明设计；电力变压器应选用低损耗、低噪声的产品，变压器效率达到《电力变压器能效限定值及能</w:t>
      </w:r>
      <w:r>
        <w:rPr>
          <w:rFonts w:ascii="Times New Roman" w:eastAsia="宋体" w:hAnsi="Times New Roman"/>
          <w:color w:val="auto"/>
        </w:rPr>
        <w:t>效等级》</w:t>
      </w:r>
      <w:r>
        <w:rPr>
          <w:rFonts w:ascii="Times New Roman" w:eastAsia="宋体" w:hAnsi="Times New Roman"/>
          <w:color w:val="auto"/>
        </w:rPr>
        <w:t>GB 20052</w:t>
      </w:r>
      <w:r>
        <w:rPr>
          <w:rFonts w:ascii="Times New Roman" w:eastAsia="宋体" w:hAnsi="Times New Roman"/>
          <w:color w:val="auto"/>
        </w:rPr>
        <w:t>规定的</w:t>
      </w:r>
      <w:r>
        <w:rPr>
          <w:rFonts w:ascii="Times New Roman" w:eastAsia="宋体" w:hAnsi="Times New Roman"/>
          <w:color w:val="auto"/>
        </w:rPr>
        <w:t>2</w:t>
      </w:r>
      <w:r>
        <w:rPr>
          <w:rFonts w:ascii="Times New Roman" w:eastAsia="宋体" w:hAnsi="Times New Roman"/>
          <w:color w:val="auto"/>
        </w:rPr>
        <w:t>级及以上能效等级；水泵、风机等设备除满足相关标准中节能评价值的要求外</w:t>
      </w:r>
      <w:r>
        <w:rPr>
          <w:rFonts w:ascii="Times New Roman" w:eastAsia="宋体" w:hAnsi="Times New Roman"/>
          <w:color w:val="auto"/>
        </w:rPr>
        <w:t>,</w:t>
      </w:r>
      <w:r>
        <w:rPr>
          <w:rFonts w:ascii="Times New Roman" w:eastAsia="宋体" w:hAnsi="Times New Roman"/>
          <w:color w:val="auto"/>
        </w:rPr>
        <w:t>还应达到现行国家标准规定的</w:t>
      </w:r>
      <w:r>
        <w:rPr>
          <w:rFonts w:ascii="Times New Roman" w:eastAsia="宋体" w:hAnsi="Times New Roman"/>
          <w:color w:val="auto"/>
        </w:rPr>
        <w:t>2</w:t>
      </w:r>
      <w:r>
        <w:rPr>
          <w:rFonts w:ascii="Times New Roman" w:eastAsia="宋体" w:hAnsi="Times New Roman"/>
          <w:color w:val="auto"/>
        </w:rPr>
        <w:t>级及以上能效等级。</w:t>
      </w:r>
    </w:p>
    <w:p w14:paraId="63D9199B"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电梯优先选用配备高效电机及先进控制技术的节能产品</w:t>
      </w:r>
      <w:r>
        <w:rPr>
          <w:rFonts w:ascii="Times New Roman" w:eastAsia="宋体" w:hAnsi="Times New Roman"/>
          <w:color w:val="auto"/>
        </w:rPr>
        <w:t>,</w:t>
      </w:r>
      <w:r>
        <w:rPr>
          <w:rFonts w:ascii="Times New Roman" w:eastAsia="宋体" w:hAnsi="Times New Roman"/>
          <w:color w:val="auto"/>
        </w:rPr>
        <w:t>并宜采用群控、变频调速或能量回馈等节能措施。在经济条件允许的情况下，高层建筑宜优先选用</w:t>
      </w:r>
      <w:r>
        <w:rPr>
          <w:rFonts w:ascii="Times New Roman" w:eastAsia="宋体" w:hAnsi="Times New Roman"/>
          <w:color w:val="auto"/>
        </w:rPr>
        <w:t>“</w:t>
      </w:r>
      <w:r>
        <w:rPr>
          <w:rFonts w:ascii="Times New Roman" w:eastAsia="宋体" w:hAnsi="Times New Roman"/>
          <w:color w:val="auto"/>
        </w:rPr>
        <w:t>能量再生型</w:t>
      </w:r>
      <w:r>
        <w:rPr>
          <w:rFonts w:ascii="Times New Roman" w:eastAsia="宋体" w:hAnsi="Times New Roman"/>
          <w:color w:val="auto"/>
        </w:rPr>
        <w:t>”</w:t>
      </w:r>
      <w:r>
        <w:rPr>
          <w:rFonts w:ascii="Times New Roman" w:eastAsia="宋体" w:hAnsi="Times New Roman"/>
          <w:color w:val="auto"/>
        </w:rPr>
        <w:t>。电梯群控功能的实施，可提高电梯调度的灵活性，减少乘客等候时间，从而达到节约能源的目的。</w:t>
      </w:r>
    </w:p>
    <w:p w14:paraId="1AB8330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4.1.5  </w:t>
      </w:r>
      <w:r>
        <w:rPr>
          <w:rFonts w:ascii="Times New Roman" w:eastAsia="宋体" w:hAnsi="Times New Roman"/>
          <w:color w:val="auto"/>
        </w:rPr>
        <w:t>现行国家标准《建筑节能与可再生能源利用通用规范》</w:t>
      </w:r>
      <w:r>
        <w:rPr>
          <w:rFonts w:ascii="Times New Roman" w:eastAsia="宋体" w:hAnsi="Times New Roman"/>
          <w:color w:val="auto"/>
        </w:rPr>
        <w:t>GB 55015</w:t>
      </w:r>
      <w:r>
        <w:rPr>
          <w:rFonts w:ascii="Times New Roman" w:eastAsia="宋体" w:hAnsi="Times New Roman"/>
          <w:color w:val="auto"/>
        </w:rPr>
        <w:t>明确规定新建建筑应安装太阳能系统，《鄂尔多斯</w:t>
      </w:r>
      <w:r>
        <w:rPr>
          <w:rFonts w:ascii="Times New Roman" w:eastAsia="宋体" w:hAnsi="Times New Roman"/>
          <w:color w:val="auto"/>
        </w:rPr>
        <w:t>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规划》提出可再生能源在民用建筑应用</w:t>
      </w:r>
      <w:r>
        <w:rPr>
          <w:rFonts w:ascii="Times New Roman" w:eastAsia="宋体" w:hAnsi="Times New Roman"/>
          <w:color w:val="auto"/>
        </w:rPr>
        <w:t>≥30%</w:t>
      </w:r>
      <w:r>
        <w:rPr>
          <w:rFonts w:ascii="Times New Roman" w:eastAsia="宋体" w:hAnsi="Times New Roman"/>
          <w:color w:val="auto"/>
        </w:rPr>
        <w:t>。</w:t>
      </w:r>
    </w:p>
    <w:p w14:paraId="278AD76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4.1.6  </w:t>
      </w:r>
      <w:r>
        <w:rPr>
          <w:rFonts w:ascii="Times New Roman" w:eastAsia="宋体" w:hAnsi="Times New Roman"/>
          <w:color w:val="auto"/>
        </w:rPr>
        <w:t>设计时由电气专业提出系统装机容量和年发电总量的需求，并由厂家进行深化设计。</w:t>
      </w:r>
    </w:p>
    <w:p w14:paraId="14768348"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lastRenderedPageBreak/>
        <w:t>4</w:t>
      </w:r>
      <w:r>
        <w:rPr>
          <w:rFonts w:ascii="Times New Roman" w:eastAsia="宋体" w:hAnsi="Times New Roman"/>
          <w:b/>
          <w:color w:val="auto"/>
        </w:rPr>
        <w:t xml:space="preserve">.1.8  </w:t>
      </w:r>
      <w:r>
        <w:rPr>
          <w:rFonts w:ascii="Times New Roman" w:eastAsia="宋体" w:hAnsi="Times New Roman"/>
          <w:color w:val="auto"/>
        </w:rPr>
        <w:t>《鄂尔多斯市关于加强建筑节能和绿色建筑发展的实施方案》提出推广被动式超低能耗技术体系的目标。鼓励在有条件的项目中按照超低能耗的标准进行设计和建造，降低运行过程中的能源消耗，降低建筑运行碳排放。</w:t>
      </w:r>
      <w:r>
        <w:rPr>
          <w:rFonts w:ascii="Times New Roman" w:eastAsia="宋体" w:hAnsi="Times New Roman" w:hint="eastAsia"/>
          <w:color w:val="auto"/>
        </w:rPr>
        <w:t>超低能耗居住建筑的建筑本体能效指标应满足国家标准《</w:t>
      </w:r>
      <w:r>
        <w:rPr>
          <w:rFonts w:ascii="Times New Roman" w:eastAsia="宋体" w:hAnsi="Times New Roman"/>
          <w:color w:val="auto"/>
        </w:rPr>
        <w:t>近零能耗建筑技术标准</w:t>
      </w:r>
      <w:r>
        <w:rPr>
          <w:rFonts w:ascii="Times New Roman" w:eastAsia="宋体" w:hAnsi="Times New Roman" w:hint="eastAsia"/>
          <w:color w:val="auto"/>
        </w:rPr>
        <w:t>》</w:t>
      </w:r>
      <w:r>
        <w:rPr>
          <w:rFonts w:ascii="Times New Roman" w:eastAsia="宋体" w:hAnsi="Times New Roman"/>
          <w:color w:val="auto"/>
        </w:rPr>
        <w:t>GB/T 51350-2019</w:t>
      </w:r>
      <w:r>
        <w:rPr>
          <w:rFonts w:ascii="Times New Roman" w:eastAsia="宋体" w:hAnsi="Times New Roman" w:hint="eastAsia"/>
          <w:color w:val="auto"/>
        </w:rPr>
        <w:t>表</w:t>
      </w:r>
      <w:r>
        <w:rPr>
          <w:rFonts w:ascii="Times New Roman" w:eastAsia="宋体" w:hAnsi="Times New Roman" w:hint="eastAsia"/>
          <w:color w:val="auto"/>
        </w:rPr>
        <w:t>5</w:t>
      </w:r>
      <w:r>
        <w:rPr>
          <w:rFonts w:ascii="Times New Roman" w:eastAsia="宋体" w:hAnsi="Times New Roman"/>
          <w:color w:val="auto"/>
        </w:rPr>
        <w:t>.0.3</w:t>
      </w:r>
      <w:r>
        <w:rPr>
          <w:rFonts w:ascii="Times New Roman" w:eastAsia="宋体" w:hAnsi="Times New Roman" w:hint="eastAsia"/>
          <w:color w:val="auto"/>
        </w:rPr>
        <w:t>的要求。</w:t>
      </w:r>
    </w:p>
    <w:p w14:paraId="2197141C"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.1.9 </w:t>
      </w:r>
      <w:r>
        <w:rPr>
          <w:rFonts w:ascii="Times New Roman" w:eastAsia="宋体" w:hAnsi="Times New Roman"/>
          <w:color w:val="auto"/>
        </w:rPr>
        <w:t xml:space="preserve"> </w:t>
      </w:r>
      <w:r>
        <w:rPr>
          <w:rFonts w:ascii="Times New Roman" w:eastAsia="宋体" w:hAnsi="Times New Roman" w:hint="eastAsia"/>
          <w:color w:val="auto"/>
        </w:rPr>
        <w:t>性能化设计方法可以按照以下步骤进行：</w:t>
      </w:r>
    </w:p>
    <w:p w14:paraId="3BEB3D6E"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设定室内环境参数和能效指标；</w:t>
      </w:r>
    </w:p>
    <w:p w14:paraId="4AA074D6"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制定设计方案；</w:t>
      </w:r>
    </w:p>
    <w:p w14:paraId="08AF0159"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利用能耗模拟软件等工具进行定量分析和优化；</w:t>
      </w:r>
    </w:p>
    <w:p w14:paraId="3CD37160"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分析优化结果并进行达标判定，当能效指标不能满足所确定的</w:t>
      </w:r>
      <w:r>
        <w:rPr>
          <w:rFonts w:ascii="Times New Roman" w:eastAsia="宋体" w:hAnsi="Times New Roman" w:hint="eastAsia"/>
          <w:color w:val="auto"/>
        </w:rPr>
        <w:t>目标要求时，应进行修改、分析，直至达成目标；</w:t>
      </w:r>
    </w:p>
    <w:p w14:paraId="16B132A4"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确定优选的设计方案。</w:t>
      </w:r>
    </w:p>
    <w:p w14:paraId="26F06AFD"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.1.10</w:t>
      </w:r>
      <w:r>
        <w:rPr>
          <w:rFonts w:ascii="Times New Roman" w:eastAsia="宋体" w:hAnsi="Times New Roman" w:hint="eastAsia"/>
          <w:color w:val="auto"/>
        </w:rPr>
        <w:t xml:space="preserve"> </w:t>
      </w:r>
      <w:r>
        <w:rPr>
          <w:rFonts w:ascii="Times New Roman" w:eastAsia="宋体" w:hAnsi="Times New Roman"/>
          <w:color w:val="auto"/>
        </w:rPr>
        <w:t xml:space="preserve"> </w:t>
      </w:r>
      <w:r>
        <w:rPr>
          <w:rFonts w:ascii="Times New Roman" w:eastAsia="宋体" w:hAnsi="Times New Roman" w:hint="eastAsia"/>
          <w:color w:val="auto"/>
        </w:rPr>
        <w:t>为</w:t>
      </w:r>
      <w:r>
        <w:rPr>
          <w:rFonts w:ascii="Times New Roman" w:eastAsia="宋体" w:hAnsi="Times New Roman"/>
          <w:color w:val="auto"/>
        </w:rPr>
        <w:t>增强住宅独立性、便于后期使用中的维修、维护的角度</w:t>
      </w:r>
      <w:r>
        <w:rPr>
          <w:rFonts w:ascii="Times New Roman" w:eastAsia="宋体" w:hAnsi="Times New Roman" w:hint="eastAsia"/>
          <w:color w:val="auto"/>
        </w:rPr>
        <w:t>提出同层排水的要求。</w:t>
      </w:r>
      <w:r>
        <w:rPr>
          <w:rFonts w:ascii="Times New Roman" w:eastAsia="宋体" w:hAnsi="Times New Roman"/>
          <w:color w:val="auto"/>
        </w:rPr>
        <w:t>住宅漏水影响楼下住户、厨</w:t>
      </w:r>
      <w:proofErr w:type="gramStart"/>
      <w:r>
        <w:rPr>
          <w:rFonts w:ascii="Times New Roman" w:eastAsia="宋体" w:hAnsi="Times New Roman"/>
          <w:color w:val="auto"/>
        </w:rPr>
        <w:t>卫反味</w:t>
      </w:r>
      <w:proofErr w:type="gramEnd"/>
      <w:r>
        <w:rPr>
          <w:rFonts w:ascii="Times New Roman" w:eastAsia="宋体" w:hAnsi="Times New Roman"/>
          <w:color w:val="auto"/>
        </w:rPr>
        <w:t>及串味等问题在住宅中极为常见，住宅同层排水</w:t>
      </w:r>
      <w:proofErr w:type="gramStart"/>
      <w:r>
        <w:rPr>
          <w:rFonts w:ascii="Times New Roman" w:eastAsia="宋体" w:hAnsi="Times New Roman"/>
          <w:color w:val="auto"/>
        </w:rPr>
        <w:t>为将污废水</w:t>
      </w:r>
      <w:proofErr w:type="gramEnd"/>
      <w:r>
        <w:rPr>
          <w:rFonts w:ascii="Times New Roman" w:eastAsia="宋体" w:hAnsi="Times New Roman"/>
          <w:color w:val="auto"/>
        </w:rPr>
        <w:t>排水横管设置在本层套内，维护检修和更新的时候获得最大程度的方便性，同时可以避免漏水影响楼下住户</w:t>
      </w:r>
      <w:r>
        <w:rPr>
          <w:rFonts w:ascii="Times New Roman" w:eastAsia="宋体" w:hAnsi="Times New Roman" w:hint="eastAsia"/>
          <w:color w:val="auto"/>
        </w:rPr>
        <w:t>。</w:t>
      </w:r>
    </w:p>
    <w:p w14:paraId="7045223B"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.1.11 </w:t>
      </w:r>
      <w:r>
        <w:rPr>
          <w:rFonts w:ascii="Times New Roman" w:eastAsia="宋体" w:hAnsi="Times New Roman"/>
          <w:color w:val="auto"/>
        </w:rPr>
        <w:t xml:space="preserve"> </w:t>
      </w:r>
      <w:r>
        <w:rPr>
          <w:rFonts w:ascii="Times New Roman" w:eastAsia="宋体" w:hAnsi="Times New Roman"/>
          <w:color w:val="auto"/>
        </w:rPr>
        <w:t>厨房排油烟机的排气管道可通过竖向共用排气道或外墙水平直</w:t>
      </w:r>
      <w:proofErr w:type="gramStart"/>
      <w:r>
        <w:rPr>
          <w:rFonts w:ascii="Times New Roman" w:eastAsia="宋体" w:hAnsi="Times New Roman"/>
          <w:color w:val="auto"/>
        </w:rPr>
        <w:t>排方式排</w:t>
      </w:r>
      <w:proofErr w:type="gramEnd"/>
      <w:r>
        <w:rPr>
          <w:rFonts w:ascii="Times New Roman" w:eastAsia="宋体" w:hAnsi="Times New Roman"/>
          <w:color w:val="auto"/>
        </w:rPr>
        <w:t>向室外，由于竖向排气道占用室内空间，同时在后期维护维修较为困难，且考虑到目前厨房油烟机油烟收集分离能</w:t>
      </w:r>
      <w:r>
        <w:rPr>
          <w:rFonts w:ascii="Times New Roman" w:eastAsia="宋体" w:hAnsi="Times New Roman"/>
          <w:color w:val="auto"/>
        </w:rPr>
        <w:t>力已普遍达到</w:t>
      </w:r>
      <w:r>
        <w:rPr>
          <w:rFonts w:ascii="Times New Roman" w:eastAsia="宋体" w:hAnsi="Times New Roman"/>
          <w:color w:val="auto"/>
        </w:rPr>
        <w:t>92%</w:t>
      </w:r>
      <w:r>
        <w:rPr>
          <w:rFonts w:ascii="Times New Roman" w:eastAsia="宋体" w:hAnsi="Times New Roman"/>
          <w:color w:val="auto"/>
        </w:rPr>
        <w:t>以上，对环境和建筑外观污染已无明显影响，油烟水平直</w:t>
      </w:r>
      <w:proofErr w:type="gramStart"/>
      <w:r>
        <w:rPr>
          <w:rFonts w:ascii="Times New Roman" w:eastAsia="宋体" w:hAnsi="Times New Roman"/>
          <w:color w:val="auto"/>
        </w:rPr>
        <w:t>排可以</w:t>
      </w:r>
      <w:proofErr w:type="gramEnd"/>
      <w:r>
        <w:rPr>
          <w:rFonts w:ascii="Times New Roman" w:eastAsia="宋体" w:hAnsi="Times New Roman"/>
          <w:color w:val="auto"/>
        </w:rPr>
        <w:t>省去公共排气道，提高厨房使用面积，降低上下层之间串味风险。</w:t>
      </w:r>
    </w:p>
    <w:p w14:paraId="273F25B9"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.1.12  </w:t>
      </w:r>
      <w:r>
        <w:rPr>
          <w:rFonts w:ascii="Times New Roman" w:eastAsia="宋体" w:hAnsi="Times New Roman" w:hint="eastAsia"/>
          <w:color w:val="auto"/>
        </w:rPr>
        <w:t>考虑到未来的维护、检修、更新的可行性和方便性，应向物业管理单位移交图纸，并应移交与实际情况相符的竣工图。</w:t>
      </w:r>
    </w:p>
    <w:p w14:paraId="3C970073" w14:textId="77777777" w:rsidR="00622EE7" w:rsidRDefault="00E60909">
      <w:pPr>
        <w:spacing w:beforeLines="50" w:before="156" w:afterLines="50" w:after="156" w:line="360" w:lineRule="auto"/>
        <w:jc w:val="center"/>
        <w:outlineLvl w:val="1"/>
        <w:rPr>
          <w:rFonts w:ascii="Times New Roman" w:eastAsia="黑体" w:hAnsi="Times New Roman"/>
        </w:rPr>
      </w:pPr>
      <w:bookmarkStart w:id="112" w:name="_Toc181092569"/>
      <w:bookmarkStart w:id="113" w:name="_Toc182841390"/>
      <w:r>
        <w:rPr>
          <w:rFonts w:ascii="Times New Roman" w:eastAsia="黑体" w:hAnsi="Times New Roman"/>
        </w:rPr>
        <w:t>4.2</w:t>
      </w:r>
      <w:bookmarkEnd w:id="112"/>
      <w:r>
        <w:rPr>
          <w:rFonts w:ascii="Times New Roman" w:eastAsia="黑体" w:hAnsi="Times New Roman"/>
        </w:rPr>
        <w:t xml:space="preserve"> </w:t>
      </w:r>
      <w:r>
        <w:rPr>
          <w:rFonts w:ascii="Times New Roman" w:eastAsia="黑体" w:hAnsi="Times New Roman" w:hint="eastAsia"/>
        </w:rPr>
        <w:t>装修策划</w:t>
      </w:r>
      <w:bookmarkEnd w:id="113"/>
    </w:p>
    <w:p w14:paraId="07F9183E"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.2.2  </w:t>
      </w:r>
      <w:r>
        <w:rPr>
          <w:rFonts w:ascii="Times New Roman" w:eastAsia="宋体" w:hAnsi="Times New Roman"/>
          <w:color w:val="auto"/>
        </w:rPr>
        <w:t>全装修住宅可以避免无序装修，减少小区内噪声和污染。全装修交付应考虑产品配置、色彩、规格的个性化配置方案，可回应住户的个性化需求，避免交房后二次拆改。</w:t>
      </w:r>
    </w:p>
    <w:p w14:paraId="7A23BB8A"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.2.5  </w:t>
      </w:r>
      <w:r>
        <w:rPr>
          <w:rFonts w:ascii="Times New Roman" w:eastAsia="宋体" w:hAnsi="Times New Roman" w:hint="eastAsia"/>
          <w:color w:val="auto"/>
        </w:rPr>
        <w:t>智能化专项宜包含智能访客、智能照明、电动窗帘、水漫报警、烟雾</w:t>
      </w:r>
      <w:r>
        <w:rPr>
          <w:rFonts w:ascii="Times New Roman" w:eastAsia="宋体" w:hAnsi="Times New Roman" w:hint="eastAsia"/>
          <w:color w:val="auto"/>
        </w:rPr>
        <w:t>报警和老人安全健康监测功能，并且预留必要的管线等条件实现系统的互联互通。</w:t>
      </w:r>
    </w:p>
    <w:p w14:paraId="47DEA61A"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lastRenderedPageBreak/>
        <w:t>4</w:t>
      </w:r>
      <w:r>
        <w:rPr>
          <w:rFonts w:ascii="Times New Roman" w:eastAsia="宋体" w:hAnsi="Times New Roman"/>
          <w:b/>
          <w:color w:val="auto"/>
        </w:rPr>
        <w:t xml:space="preserve">.2.6  </w:t>
      </w:r>
      <w:r>
        <w:rPr>
          <w:rFonts w:ascii="Times New Roman" w:eastAsia="宋体" w:hAnsi="Times New Roman" w:hint="eastAsia"/>
          <w:color w:val="auto"/>
        </w:rPr>
        <w:t>装配式内装修是一个系统化的工程，由于技术复杂、系统性强，采用的部品部件需要在工厂进行生产，因此，在项目的初期进行技术策划十分必要。装配式</w:t>
      </w:r>
      <w:r>
        <w:rPr>
          <w:rFonts w:ascii="Times New Roman" w:eastAsia="宋体" w:hAnsi="Times New Roman"/>
          <w:color w:val="auto"/>
        </w:rPr>
        <w:t>内装修</w:t>
      </w:r>
      <w:r>
        <w:rPr>
          <w:rFonts w:ascii="Times New Roman" w:eastAsia="宋体" w:hAnsi="Times New Roman" w:hint="eastAsia"/>
          <w:color w:val="auto"/>
        </w:rPr>
        <w:t>的技术策划主要包括项目定位、成本目标、技术和部品配置、部品部件供应、施工安装组织等方面（图</w:t>
      </w:r>
      <w:r>
        <w:rPr>
          <w:rFonts w:ascii="Times New Roman" w:eastAsia="宋体" w:hAnsi="Times New Roman" w:hint="eastAsia"/>
          <w:color w:val="auto"/>
        </w:rPr>
        <w:t>1</w:t>
      </w:r>
      <w:r>
        <w:rPr>
          <w:rFonts w:ascii="Times New Roman" w:eastAsia="宋体" w:hAnsi="Times New Roman" w:hint="eastAsia"/>
          <w:color w:val="auto"/>
        </w:rPr>
        <w:t>）。技术策划应在项目开始阶段进行，最晚不应迟于方案设计结束之前；方案设计应在技术策划的指导下进行，满足使用功能要求，对房间布置、功能流线、空间效果等进行设计；部品集成与选型阶段应在技术</w:t>
      </w:r>
      <w:r>
        <w:rPr>
          <w:rFonts w:ascii="Times New Roman" w:eastAsia="宋体" w:hAnsi="Times New Roman"/>
          <w:color w:val="auto"/>
        </w:rPr>
        <w:t>策划之</w:t>
      </w:r>
      <w:r>
        <w:rPr>
          <w:rFonts w:ascii="Times New Roman" w:eastAsia="宋体" w:hAnsi="Times New Roman"/>
          <w:color w:val="auto"/>
        </w:rPr>
        <w:t>后</w:t>
      </w:r>
      <w:r>
        <w:rPr>
          <w:rFonts w:ascii="Times New Roman" w:eastAsia="宋体" w:hAnsi="Times New Roman" w:hint="eastAsia"/>
          <w:color w:val="auto"/>
        </w:rPr>
        <w:t>，对工程中所有的部品部件进行选型和设计，对楼地面、墙体和墙面、吊顶、内门窗、收纳、厨房、卫生间等关键部品进行选型，</w:t>
      </w:r>
      <w:proofErr w:type="gramStart"/>
      <w:r>
        <w:rPr>
          <w:rFonts w:ascii="Times New Roman" w:eastAsia="宋体" w:hAnsi="Times New Roman" w:hint="eastAsia"/>
          <w:color w:val="auto"/>
        </w:rPr>
        <w:t>确定部</w:t>
      </w:r>
      <w:proofErr w:type="gramEnd"/>
      <w:r>
        <w:rPr>
          <w:rFonts w:ascii="Times New Roman" w:eastAsia="宋体" w:hAnsi="Times New Roman" w:hint="eastAsia"/>
          <w:color w:val="auto"/>
        </w:rPr>
        <w:t>品的规格、性能、材料、成本，着重</w:t>
      </w:r>
      <w:proofErr w:type="gramStart"/>
      <w:r>
        <w:rPr>
          <w:rFonts w:ascii="Times New Roman" w:eastAsia="宋体" w:hAnsi="Times New Roman" w:hint="eastAsia"/>
          <w:color w:val="auto"/>
        </w:rPr>
        <w:t>解决部品之间</w:t>
      </w:r>
      <w:proofErr w:type="gramEnd"/>
      <w:r>
        <w:rPr>
          <w:rFonts w:ascii="Times New Roman" w:eastAsia="宋体" w:hAnsi="Times New Roman" w:hint="eastAsia"/>
          <w:color w:val="auto"/>
        </w:rPr>
        <w:t>的连接问题，并测算工程成本；深化设计阶段在部品选型确定之后进行，着重进行细部节点设计、部品部件深化设计，</w:t>
      </w:r>
      <w:proofErr w:type="gramStart"/>
      <w:r>
        <w:rPr>
          <w:rFonts w:ascii="Times New Roman" w:eastAsia="宋体" w:hAnsi="Times New Roman" w:hint="eastAsia"/>
          <w:color w:val="auto"/>
        </w:rPr>
        <w:t>定制部</w:t>
      </w:r>
      <w:proofErr w:type="gramEnd"/>
      <w:r>
        <w:rPr>
          <w:rFonts w:ascii="Times New Roman" w:eastAsia="宋体" w:hAnsi="Times New Roman" w:hint="eastAsia"/>
          <w:color w:val="auto"/>
        </w:rPr>
        <w:t>品的设计等，并最终完成装配式内装修所有的设计文件。</w:t>
      </w:r>
    </w:p>
    <w:p w14:paraId="43970EC8" w14:textId="77777777" w:rsidR="00622EE7" w:rsidRDefault="00E60909">
      <w:pPr>
        <w:widowControl/>
        <w:jc w:val="center"/>
        <w:rPr>
          <w:rFonts w:ascii="宋体" w:hAnsi="宋体" w:cs="宋体"/>
          <w:kern w:val="0"/>
          <w:szCs w:val="24"/>
        </w:rPr>
      </w:pPr>
      <w:r>
        <w:rPr>
          <w:noProof/>
        </w:rPr>
        <w:drawing>
          <wp:inline distT="0" distB="0" distL="0" distR="0" wp14:anchorId="259E4828" wp14:editId="4442F31C">
            <wp:extent cx="5184775" cy="278765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8"/>
                    <a:srcRect b="26657"/>
                    <a:stretch>
                      <a:fillRect/>
                    </a:stretch>
                  </pic:blipFill>
                  <pic:spPr>
                    <a:xfrm>
                      <a:off x="0" y="0"/>
                      <a:ext cx="5194546" cy="2792903"/>
                    </a:xfrm>
                    <a:prstGeom prst="rect">
                      <a:avLst/>
                    </a:prstGeom>
                    <a:ln>
                      <a:noFill/>
                    </a:ln>
                  </pic:spPr>
                </pic:pic>
              </a:graphicData>
            </a:graphic>
          </wp:inline>
        </w:drawing>
      </w:r>
    </w:p>
    <w:p w14:paraId="151EF89C" w14:textId="77777777" w:rsidR="00622EE7" w:rsidRDefault="00E60909">
      <w:pPr>
        <w:spacing w:before="60"/>
        <w:jc w:val="center"/>
        <w:rPr>
          <w:rFonts w:ascii="宋体" w:hAnsi="宋体"/>
          <w:b/>
          <w:sz w:val="21"/>
          <w:szCs w:val="24"/>
        </w:rPr>
      </w:pPr>
      <w:r>
        <w:rPr>
          <w:rFonts w:ascii="宋体" w:hAnsi="宋体" w:hint="eastAsia"/>
          <w:b/>
          <w:sz w:val="21"/>
          <w:szCs w:val="24"/>
        </w:rPr>
        <w:t>图</w:t>
      </w:r>
      <w:r>
        <w:rPr>
          <w:rFonts w:ascii="宋体" w:hAnsi="宋体"/>
          <w:b/>
          <w:sz w:val="21"/>
          <w:szCs w:val="24"/>
        </w:rPr>
        <w:t xml:space="preserve">1 </w:t>
      </w:r>
      <w:r>
        <w:rPr>
          <w:rFonts w:ascii="宋体" w:hAnsi="宋体" w:hint="eastAsia"/>
          <w:b/>
          <w:sz w:val="21"/>
          <w:szCs w:val="24"/>
        </w:rPr>
        <w:t>装配式内装修设计流程图</w:t>
      </w:r>
    </w:p>
    <w:p w14:paraId="60342600"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.2.7  </w:t>
      </w:r>
      <w:r>
        <w:rPr>
          <w:rFonts w:ascii="Times New Roman" w:eastAsia="宋体" w:hAnsi="Times New Roman" w:hint="eastAsia"/>
          <w:color w:val="auto"/>
        </w:rPr>
        <w:t>以往的建筑工程中，将电气管线敷设于楼板中、供暖管线敷设于混凝土结构垫层中等结构和管线不分离的做法非常普遍。管线的寿命均远远短于主体结构的使用寿命，而更换埋在主体结构中的管线，不但极其困难，还容易对结构造成损害影响结构安全。实际项目表明采用管线分离技术，在功能变化重新装修时，装修工作变得十分便利，使用功能也更容易实现，装修工程的拆改量和工程成本均大幅下降。</w:t>
      </w:r>
      <w:r>
        <w:rPr>
          <w:rFonts w:ascii="Times New Roman" w:eastAsia="宋体" w:hAnsi="Times New Roman"/>
          <w:color w:val="auto"/>
        </w:rPr>
        <w:t>由于主体结构的寿命远远长于内装修的寿命，在住宅的全生命期内将进行数次装修，因此采用装配式内装修，应用管线分离的设计不仅能在未来的历次装修中获得拆改的便利性，</w:t>
      </w:r>
      <w:r>
        <w:rPr>
          <w:rFonts w:ascii="Times New Roman" w:eastAsia="宋体" w:hAnsi="Times New Roman"/>
          <w:color w:val="auto"/>
        </w:rPr>
        <w:t>还可以降低改造中的噪声，减少垃圾的产生，</w:t>
      </w:r>
      <w:r>
        <w:rPr>
          <w:rFonts w:ascii="Times New Roman" w:eastAsia="宋体" w:hAnsi="Times New Roman" w:hint="eastAsia"/>
          <w:color w:val="auto"/>
        </w:rPr>
        <w:t>同</w:t>
      </w:r>
      <w:r>
        <w:rPr>
          <w:rFonts w:ascii="Times New Roman" w:eastAsia="宋体" w:hAnsi="Times New Roman" w:hint="eastAsia"/>
          <w:color w:val="auto"/>
        </w:rPr>
        <w:lastRenderedPageBreak/>
        <w:t>时也适用于既有建筑的改造，可以有效</w:t>
      </w:r>
      <w:r>
        <w:rPr>
          <w:rFonts w:ascii="Times New Roman" w:eastAsia="宋体" w:hAnsi="Times New Roman"/>
          <w:color w:val="auto"/>
        </w:rPr>
        <w:t>提高建筑的可持续性，降低碳排放。</w:t>
      </w:r>
    </w:p>
    <w:p w14:paraId="4BA2CA15"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.2.9  </w:t>
      </w:r>
      <w:r>
        <w:rPr>
          <w:rFonts w:ascii="Times New Roman" w:eastAsia="宋体" w:hAnsi="Times New Roman" w:hint="eastAsia"/>
          <w:color w:val="auto"/>
        </w:rPr>
        <w:t>当采用装配式内装修时，应至少</w:t>
      </w:r>
      <w:r>
        <w:rPr>
          <w:rFonts w:ascii="Times New Roman" w:eastAsia="宋体" w:hAnsi="Times New Roman"/>
          <w:color w:val="auto"/>
        </w:rPr>
        <w:t>选用</w:t>
      </w:r>
      <w:r>
        <w:rPr>
          <w:rFonts w:ascii="Times New Roman" w:eastAsia="宋体" w:hAnsi="Times New Roman"/>
          <w:color w:val="auto"/>
        </w:rPr>
        <w:t>1</w:t>
      </w:r>
      <w:r>
        <w:rPr>
          <w:rFonts w:ascii="Times New Roman" w:eastAsia="宋体" w:hAnsi="Times New Roman"/>
          <w:color w:val="auto"/>
        </w:rPr>
        <w:t>种及以上装配式内装部品，占同类部品用量比例达到</w:t>
      </w:r>
      <w:r>
        <w:rPr>
          <w:rFonts w:ascii="Times New Roman" w:eastAsia="宋体" w:hAnsi="Times New Roman"/>
          <w:color w:val="auto"/>
        </w:rPr>
        <w:t>30%</w:t>
      </w:r>
      <w:r>
        <w:rPr>
          <w:rFonts w:ascii="Times New Roman" w:eastAsia="宋体" w:hAnsi="Times New Roman"/>
          <w:color w:val="auto"/>
        </w:rPr>
        <w:t>及以上</w:t>
      </w:r>
      <w:r>
        <w:rPr>
          <w:rFonts w:ascii="Times New Roman" w:eastAsia="宋体" w:hAnsi="Times New Roman" w:hint="eastAsia"/>
          <w:color w:val="auto"/>
        </w:rPr>
        <w:t>，可采用装配式墙面（集成墙面）、装配式吊顶、装配式楼地面、装配式厨房（集成厨房）和装配式整体卫生间等。</w:t>
      </w:r>
    </w:p>
    <w:p w14:paraId="3F2F59AD"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hint="eastAsia"/>
          <w:color w:val="auto"/>
        </w:rPr>
        <w:t>装配式墙面主要类型有金属类、竹木纤维类、木塑和石塑类、无机板材类等，宜优先采用集成饰面板的一体化墙面。</w:t>
      </w:r>
    </w:p>
    <w:p w14:paraId="169017B8"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hint="eastAsia"/>
          <w:color w:val="auto"/>
        </w:rPr>
        <w:t>装配式吊顶系统可采用明龙骨、暗龙骨或无龙骨吊顶、软膜天花或其它干式工法施工的吊顶。装配式楼地面系统可采用架空楼地面、非</w:t>
      </w:r>
      <w:proofErr w:type="gramStart"/>
      <w:r>
        <w:rPr>
          <w:rFonts w:ascii="Times New Roman" w:eastAsia="宋体" w:hAnsi="Times New Roman" w:hint="eastAsia"/>
          <w:color w:val="auto"/>
        </w:rPr>
        <w:t>架空干铺楼地面</w:t>
      </w:r>
      <w:proofErr w:type="gramEnd"/>
      <w:r>
        <w:rPr>
          <w:rFonts w:ascii="Times New Roman" w:eastAsia="宋体" w:hAnsi="Times New Roman" w:hint="eastAsia"/>
          <w:color w:val="auto"/>
        </w:rPr>
        <w:t>或其他干式工法施工的楼地面（图</w:t>
      </w:r>
      <w:r>
        <w:rPr>
          <w:rFonts w:ascii="Times New Roman" w:eastAsia="宋体" w:hAnsi="Times New Roman" w:hint="eastAsia"/>
          <w:color w:val="auto"/>
        </w:rPr>
        <w:t>2</w:t>
      </w:r>
      <w:r>
        <w:rPr>
          <w:rFonts w:ascii="Times New Roman" w:eastAsia="宋体" w:hAnsi="Times New Roman" w:hint="eastAsia"/>
          <w:color w:val="auto"/>
        </w:rPr>
        <w:t>）。</w:t>
      </w:r>
    </w:p>
    <w:tbl>
      <w:tblPr>
        <w:tblStyle w:val="af0"/>
        <w:tblW w:w="878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2976"/>
        <w:gridCol w:w="2902"/>
      </w:tblGrid>
      <w:tr w:rsidR="00622EE7" w14:paraId="75D222D3" w14:textId="77777777">
        <w:tc>
          <w:tcPr>
            <w:tcW w:w="2911" w:type="dxa"/>
            <w:vAlign w:val="center"/>
          </w:tcPr>
          <w:p w14:paraId="30EAA777" w14:textId="77777777" w:rsidR="00622EE7" w:rsidRDefault="00E60909">
            <w:pPr>
              <w:spacing w:before="78"/>
              <w:contextualSpacing/>
              <w:jc w:val="center"/>
              <w:rPr>
                <w:rFonts w:ascii="宋体" w:hAnsi="宋体" w:cs="华文楷体"/>
                <w:sz w:val="21"/>
                <w:szCs w:val="24"/>
              </w:rPr>
            </w:pPr>
            <w:r>
              <w:rPr>
                <w:rFonts w:ascii="宋体" w:hAnsi="宋体" w:hint="eastAsia"/>
                <w:sz w:val="21"/>
                <w:szCs w:val="24"/>
              </w:rPr>
              <w:t>线支撑铺装法架空楼地面</w:t>
            </w:r>
          </w:p>
        </w:tc>
        <w:tc>
          <w:tcPr>
            <w:tcW w:w="2976" w:type="dxa"/>
            <w:vAlign w:val="center"/>
          </w:tcPr>
          <w:p w14:paraId="35274DDB" w14:textId="77777777" w:rsidR="00622EE7" w:rsidRDefault="00E60909">
            <w:pPr>
              <w:spacing w:before="78"/>
              <w:contextualSpacing/>
              <w:jc w:val="center"/>
              <w:rPr>
                <w:rFonts w:ascii="宋体" w:hAnsi="宋体" w:cs="华文楷体"/>
                <w:sz w:val="21"/>
                <w:szCs w:val="24"/>
              </w:rPr>
            </w:pPr>
            <w:r>
              <w:rPr>
                <w:rFonts w:ascii="宋体" w:hAnsi="宋体" w:hint="eastAsia"/>
                <w:sz w:val="21"/>
                <w:szCs w:val="24"/>
              </w:rPr>
              <w:t>点支撑铺装法架空楼地面</w:t>
            </w:r>
          </w:p>
        </w:tc>
        <w:tc>
          <w:tcPr>
            <w:tcW w:w="2902" w:type="dxa"/>
            <w:vAlign w:val="center"/>
          </w:tcPr>
          <w:p w14:paraId="3FE2AB4B" w14:textId="77777777" w:rsidR="00622EE7" w:rsidRDefault="00E60909">
            <w:pPr>
              <w:spacing w:before="78"/>
              <w:contextualSpacing/>
              <w:jc w:val="center"/>
              <w:rPr>
                <w:rFonts w:ascii="宋体" w:hAnsi="宋体" w:cs="华文楷体"/>
                <w:sz w:val="21"/>
                <w:szCs w:val="24"/>
              </w:rPr>
            </w:pPr>
            <w:r>
              <w:rPr>
                <w:rFonts w:ascii="宋体" w:hAnsi="宋体" w:hint="eastAsia"/>
                <w:sz w:val="21"/>
                <w:szCs w:val="24"/>
              </w:rPr>
              <w:t>非</w:t>
            </w:r>
            <w:proofErr w:type="gramStart"/>
            <w:r>
              <w:rPr>
                <w:rFonts w:ascii="宋体" w:hAnsi="宋体" w:hint="eastAsia"/>
                <w:sz w:val="21"/>
                <w:szCs w:val="24"/>
              </w:rPr>
              <w:t>架空干铺楼地面</w:t>
            </w:r>
            <w:proofErr w:type="gramEnd"/>
          </w:p>
        </w:tc>
      </w:tr>
      <w:tr w:rsidR="00622EE7" w14:paraId="094384B9" w14:textId="77777777">
        <w:tc>
          <w:tcPr>
            <w:tcW w:w="2911" w:type="dxa"/>
            <w:vAlign w:val="center"/>
          </w:tcPr>
          <w:p w14:paraId="198EFCE7" w14:textId="77777777" w:rsidR="00622EE7" w:rsidRDefault="00E60909">
            <w:pPr>
              <w:spacing w:before="78"/>
              <w:contextualSpacing/>
              <w:jc w:val="center"/>
              <w:rPr>
                <w:rFonts w:ascii="宋体" w:hAnsi="宋体" w:cs="华文楷体"/>
                <w:sz w:val="21"/>
                <w:szCs w:val="24"/>
              </w:rPr>
            </w:pPr>
            <w:r>
              <w:rPr>
                <w:rFonts w:ascii="宋体" w:hAnsi="宋体" w:cs="华文楷体"/>
                <w:noProof/>
                <w:sz w:val="21"/>
                <w:szCs w:val="24"/>
              </w:rPr>
              <w:drawing>
                <wp:inline distT="0" distB="0" distL="0" distR="0" wp14:anchorId="57754513" wp14:editId="48E7C3D1">
                  <wp:extent cx="1122680" cy="1171575"/>
                  <wp:effectExtent l="0" t="0" r="127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9"/>
                          <a:srcRect r="68759"/>
                          <a:stretch>
                            <a:fillRect/>
                          </a:stretch>
                        </pic:blipFill>
                        <pic:spPr>
                          <a:xfrm>
                            <a:off x="0" y="0"/>
                            <a:ext cx="1137766" cy="1187817"/>
                          </a:xfrm>
                          <a:prstGeom prst="rect">
                            <a:avLst/>
                          </a:prstGeom>
                          <a:ln>
                            <a:noFill/>
                          </a:ln>
                        </pic:spPr>
                      </pic:pic>
                    </a:graphicData>
                  </a:graphic>
                </wp:inline>
              </w:drawing>
            </w:r>
          </w:p>
        </w:tc>
        <w:tc>
          <w:tcPr>
            <w:tcW w:w="2976" w:type="dxa"/>
            <w:vAlign w:val="center"/>
          </w:tcPr>
          <w:p w14:paraId="1D88F453" w14:textId="77777777" w:rsidR="00622EE7" w:rsidRDefault="00E60909">
            <w:pPr>
              <w:spacing w:before="78"/>
              <w:contextualSpacing/>
              <w:jc w:val="center"/>
              <w:rPr>
                <w:rFonts w:ascii="宋体" w:hAnsi="宋体" w:cs="华文楷体"/>
                <w:sz w:val="21"/>
                <w:szCs w:val="24"/>
              </w:rPr>
            </w:pPr>
            <w:r>
              <w:rPr>
                <w:rFonts w:ascii="宋体" w:hAnsi="宋体" w:cs="华文楷体"/>
                <w:noProof/>
                <w:sz w:val="21"/>
                <w:szCs w:val="24"/>
              </w:rPr>
              <w:drawing>
                <wp:inline distT="0" distB="0" distL="0" distR="0" wp14:anchorId="7E500190" wp14:editId="5E58ECF1">
                  <wp:extent cx="1187450" cy="116903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9"/>
                          <a:srcRect l="36562" r="30308"/>
                          <a:stretch>
                            <a:fillRect/>
                          </a:stretch>
                        </pic:blipFill>
                        <pic:spPr>
                          <a:xfrm>
                            <a:off x="0" y="0"/>
                            <a:ext cx="1195517" cy="1176936"/>
                          </a:xfrm>
                          <a:prstGeom prst="rect">
                            <a:avLst/>
                          </a:prstGeom>
                          <a:ln>
                            <a:noFill/>
                          </a:ln>
                        </pic:spPr>
                      </pic:pic>
                    </a:graphicData>
                  </a:graphic>
                </wp:inline>
              </w:drawing>
            </w:r>
          </w:p>
        </w:tc>
        <w:tc>
          <w:tcPr>
            <w:tcW w:w="2902" w:type="dxa"/>
            <w:vAlign w:val="center"/>
          </w:tcPr>
          <w:p w14:paraId="2A11D5CB" w14:textId="77777777" w:rsidR="00622EE7" w:rsidRDefault="00E60909">
            <w:pPr>
              <w:spacing w:before="78"/>
              <w:contextualSpacing/>
              <w:jc w:val="center"/>
              <w:rPr>
                <w:rFonts w:ascii="宋体" w:hAnsi="宋体" w:cs="华文楷体"/>
                <w:sz w:val="21"/>
                <w:szCs w:val="24"/>
              </w:rPr>
            </w:pPr>
            <w:r>
              <w:rPr>
                <w:rFonts w:ascii="宋体" w:hAnsi="宋体" w:cs="华文楷体"/>
                <w:noProof/>
                <w:sz w:val="21"/>
                <w:szCs w:val="24"/>
              </w:rPr>
              <w:drawing>
                <wp:inline distT="0" distB="0" distL="0" distR="0" wp14:anchorId="1486CEAB" wp14:editId="12B325EE">
                  <wp:extent cx="967740" cy="1035685"/>
                  <wp:effectExtent l="0" t="0" r="381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9"/>
                          <a:srcRect l="69519"/>
                          <a:stretch>
                            <a:fillRect/>
                          </a:stretch>
                        </pic:blipFill>
                        <pic:spPr>
                          <a:xfrm>
                            <a:off x="0" y="0"/>
                            <a:ext cx="983384" cy="1052235"/>
                          </a:xfrm>
                          <a:prstGeom prst="rect">
                            <a:avLst/>
                          </a:prstGeom>
                          <a:ln>
                            <a:noFill/>
                          </a:ln>
                        </pic:spPr>
                      </pic:pic>
                    </a:graphicData>
                  </a:graphic>
                </wp:inline>
              </w:drawing>
            </w:r>
          </w:p>
        </w:tc>
      </w:tr>
      <w:tr w:rsidR="00622EE7" w14:paraId="08FF9E0E" w14:textId="77777777">
        <w:trPr>
          <w:trHeight w:val="840"/>
        </w:trPr>
        <w:tc>
          <w:tcPr>
            <w:tcW w:w="2911" w:type="dxa"/>
            <w:vAlign w:val="center"/>
          </w:tcPr>
          <w:p w14:paraId="7E47549E" w14:textId="77777777" w:rsidR="00622EE7" w:rsidRDefault="00E60909">
            <w:pPr>
              <w:spacing w:before="78"/>
              <w:jc w:val="center"/>
              <w:rPr>
                <w:rFonts w:ascii="宋体" w:hAnsi="宋体"/>
                <w:sz w:val="21"/>
                <w:szCs w:val="24"/>
              </w:rPr>
            </w:pPr>
            <w:r>
              <w:rPr>
                <w:rFonts w:ascii="宋体" w:hAnsi="宋体"/>
                <w:sz w:val="21"/>
                <w:szCs w:val="24"/>
              </w:rPr>
              <w:t>1-</w:t>
            </w:r>
            <w:r>
              <w:rPr>
                <w:rFonts w:ascii="宋体" w:hAnsi="宋体"/>
                <w:sz w:val="21"/>
                <w:szCs w:val="24"/>
              </w:rPr>
              <w:t>结构层；</w:t>
            </w:r>
            <w:r>
              <w:rPr>
                <w:rFonts w:ascii="宋体" w:hAnsi="宋体" w:hint="eastAsia"/>
                <w:sz w:val="21"/>
                <w:szCs w:val="24"/>
              </w:rPr>
              <w:t>2</w:t>
            </w:r>
            <w:r>
              <w:rPr>
                <w:rFonts w:ascii="宋体" w:hAnsi="宋体"/>
                <w:sz w:val="21"/>
                <w:szCs w:val="24"/>
              </w:rPr>
              <w:t>-</w:t>
            </w:r>
            <w:r>
              <w:rPr>
                <w:rFonts w:ascii="宋体" w:hAnsi="宋体"/>
                <w:sz w:val="21"/>
                <w:szCs w:val="24"/>
              </w:rPr>
              <w:t>找平层（</w:t>
            </w:r>
            <w:r>
              <w:rPr>
                <w:rFonts w:ascii="宋体" w:hAnsi="宋体" w:hint="eastAsia"/>
                <w:sz w:val="21"/>
                <w:szCs w:val="24"/>
              </w:rPr>
              <w:t>根据</w:t>
            </w:r>
            <w:r>
              <w:rPr>
                <w:rFonts w:ascii="宋体" w:hAnsi="宋体"/>
                <w:sz w:val="21"/>
                <w:szCs w:val="24"/>
              </w:rPr>
              <w:t>需要可不做）</w:t>
            </w:r>
            <w:r>
              <w:rPr>
                <w:rFonts w:ascii="宋体" w:hAnsi="宋体" w:hint="eastAsia"/>
                <w:sz w:val="21"/>
                <w:szCs w:val="24"/>
              </w:rPr>
              <w:t>；</w:t>
            </w:r>
            <w:r>
              <w:rPr>
                <w:rFonts w:ascii="宋体" w:hAnsi="宋体" w:hint="eastAsia"/>
                <w:sz w:val="21"/>
                <w:szCs w:val="24"/>
              </w:rPr>
              <w:t>3</w:t>
            </w:r>
            <w:r>
              <w:rPr>
                <w:rFonts w:ascii="宋体" w:hAnsi="宋体"/>
                <w:sz w:val="21"/>
                <w:szCs w:val="24"/>
              </w:rPr>
              <w:t>-</w:t>
            </w:r>
            <w:r>
              <w:rPr>
                <w:rFonts w:ascii="宋体" w:hAnsi="宋体"/>
                <w:sz w:val="21"/>
                <w:szCs w:val="24"/>
              </w:rPr>
              <w:t>龙骨</w:t>
            </w:r>
            <w:r>
              <w:rPr>
                <w:rFonts w:ascii="宋体" w:hAnsi="宋体" w:hint="eastAsia"/>
                <w:sz w:val="21"/>
                <w:szCs w:val="24"/>
              </w:rPr>
              <w:t>支撑</w:t>
            </w:r>
            <w:r>
              <w:rPr>
                <w:rFonts w:ascii="宋体" w:hAnsi="宋体"/>
                <w:sz w:val="21"/>
                <w:szCs w:val="24"/>
              </w:rPr>
              <w:t>；</w:t>
            </w:r>
            <w:r>
              <w:rPr>
                <w:rFonts w:ascii="宋体" w:hAnsi="宋体" w:hint="eastAsia"/>
                <w:sz w:val="21"/>
                <w:szCs w:val="24"/>
              </w:rPr>
              <w:t>4</w:t>
            </w:r>
            <w:r>
              <w:rPr>
                <w:rFonts w:ascii="宋体" w:hAnsi="宋体"/>
                <w:sz w:val="21"/>
                <w:szCs w:val="24"/>
              </w:rPr>
              <w:t>-</w:t>
            </w:r>
            <w:r>
              <w:rPr>
                <w:rFonts w:ascii="宋体" w:hAnsi="宋体"/>
                <w:sz w:val="21"/>
                <w:szCs w:val="24"/>
              </w:rPr>
              <w:t>装配式面层</w:t>
            </w:r>
          </w:p>
        </w:tc>
        <w:tc>
          <w:tcPr>
            <w:tcW w:w="2976" w:type="dxa"/>
            <w:vAlign w:val="center"/>
          </w:tcPr>
          <w:p w14:paraId="11862012" w14:textId="77777777" w:rsidR="00622EE7" w:rsidRDefault="00E60909">
            <w:pPr>
              <w:spacing w:before="78"/>
              <w:jc w:val="center"/>
              <w:rPr>
                <w:rFonts w:ascii="宋体" w:hAnsi="宋体"/>
                <w:sz w:val="21"/>
                <w:szCs w:val="24"/>
              </w:rPr>
            </w:pPr>
            <w:r>
              <w:rPr>
                <w:rFonts w:ascii="宋体" w:hAnsi="宋体"/>
                <w:sz w:val="21"/>
                <w:szCs w:val="24"/>
              </w:rPr>
              <w:t>1-</w:t>
            </w:r>
            <w:r>
              <w:rPr>
                <w:rFonts w:ascii="宋体" w:hAnsi="宋体"/>
                <w:sz w:val="21"/>
                <w:szCs w:val="24"/>
              </w:rPr>
              <w:t>结构层；</w:t>
            </w:r>
            <w:r>
              <w:rPr>
                <w:rFonts w:ascii="宋体" w:hAnsi="宋体" w:hint="eastAsia"/>
                <w:sz w:val="21"/>
                <w:szCs w:val="24"/>
              </w:rPr>
              <w:t>2</w:t>
            </w:r>
            <w:r>
              <w:rPr>
                <w:rFonts w:ascii="宋体" w:hAnsi="宋体"/>
                <w:sz w:val="21"/>
                <w:szCs w:val="24"/>
              </w:rPr>
              <w:t>-</w:t>
            </w:r>
            <w:r>
              <w:rPr>
                <w:rFonts w:ascii="宋体" w:hAnsi="宋体" w:hint="eastAsia"/>
                <w:sz w:val="21"/>
                <w:szCs w:val="24"/>
              </w:rPr>
              <w:t>点</w:t>
            </w:r>
            <w:r>
              <w:rPr>
                <w:rFonts w:ascii="宋体" w:hAnsi="宋体"/>
                <w:sz w:val="21"/>
                <w:szCs w:val="24"/>
              </w:rPr>
              <w:t>支撑</w:t>
            </w:r>
            <w:r>
              <w:rPr>
                <w:rFonts w:ascii="宋体" w:hAnsi="宋体" w:hint="eastAsia"/>
                <w:sz w:val="21"/>
                <w:szCs w:val="24"/>
              </w:rPr>
              <w:t>；</w:t>
            </w:r>
          </w:p>
          <w:p w14:paraId="618910F4" w14:textId="77777777" w:rsidR="00622EE7" w:rsidRDefault="00E60909">
            <w:pPr>
              <w:spacing w:before="78"/>
              <w:jc w:val="center"/>
              <w:rPr>
                <w:rFonts w:ascii="宋体" w:hAnsi="宋体"/>
                <w:sz w:val="21"/>
                <w:szCs w:val="24"/>
              </w:rPr>
            </w:pPr>
            <w:r>
              <w:rPr>
                <w:rFonts w:ascii="宋体" w:hAnsi="宋体" w:hint="eastAsia"/>
                <w:sz w:val="21"/>
                <w:szCs w:val="24"/>
              </w:rPr>
              <w:t>3</w:t>
            </w:r>
            <w:r>
              <w:rPr>
                <w:rFonts w:ascii="宋体" w:hAnsi="宋体"/>
                <w:sz w:val="21"/>
                <w:szCs w:val="24"/>
              </w:rPr>
              <w:t>-</w:t>
            </w:r>
            <w:r>
              <w:rPr>
                <w:rFonts w:ascii="宋体" w:hAnsi="宋体"/>
                <w:sz w:val="21"/>
                <w:szCs w:val="24"/>
              </w:rPr>
              <w:t>装配式面层</w:t>
            </w:r>
          </w:p>
        </w:tc>
        <w:tc>
          <w:tcPr>
            <w:tcW w:w="2902" w:type="dxa"/>
            <w:vAlign w:val="center"/>
          </w:tcPr>
          <w:p w14:paraId="625C463E" w14:textId="77777777" w:rsidR="00622EE7" w:rsidRDefault="00E60909">
            <w:pPr>
              <w:spacing w:before="78"/>
              <w:jc w:val="center"/>
              <w:rPr>
                <w:rFonts w:ascii="宋体" w:hAnsi="宋体"/>
                <w:sz w:val="21"/>
                <w:szCs w:val="24"/>
              </w:rPr>
            </w:pPr>
            <w:r>
              <w:rPr>
                <w:rFonts w:ascii="宋体" w:hAnsi="宋体"/>
                <w:sz w:val="21"/>
                <w:szCs w:val="24"/>
              </w:rPr>
              <w:t>1-</w:t>
            </w:r>
            <w:r>
              <w:rPr>
                <w:rFonts w:ascii="宋体" w:hAnsi="宋体"/>
                <w:sz w:val="21"/>
                <w:szCs w:val="24"/>
              </w:rPr>
              <w:t>结构层；</w:t>
            </w:r>
            <w:r>
              <w:rPr>
                <w:rFonts w:ascii="宋体" w:hAnsi="宋体" w:hint="eastAsia"/>
                <w:sz w:val="21"/>
                <w:szCs w:val="24"/>
              </w:rPr>
              <w:t>2</w:t>
            </w:r>
            <w:r>
              <w:rPr>
                <w:rFonts w:ascii="宋体" w:hAnsi="宋体"/>
                <w:sz w:val="21"/>
                <w:szCs w:val="24"/>
              </w:rPr>
              <w:t>-</w:t>
            </w:r>
            <w:r>
              <w:rPr>
                <w:rFonts w:ascii="宋体" w:hAnsi="宋体" w:hint="eastAsia"/>
                <w:sz w:val="21"/>
                <w:szCs w:val="24"/>
              </w:rPr>
              <w:t>填充</w:t>
            </w:r>
            <w:r>
              <w:rPr>
                <w:rFonts w:ascii="宋体" w:hAnsi="宋体"/>
                <w:sz w:val="21"/>
                <w:szCs w:val="24"/>
              </w:rPr>
              <w:t>层（</w:t>
            </w:r>
            <w:r>
              <w:rPr>
                <w:rFonts w:ascii="宋体" w:hAnsi="宋体" w:hint="eastAsia"/>
                <w:sz w:val="21"/>
                <w:szCs w:val="24"/>
              </w:rPr>
              <w:t>根据</w:t>
            </w:r>
            <w:r>
              <w:rPr>
                <w:rFonts w:ascii="宋体" w:hAnsi="宋体"/>
                <w:sz w:val="21"/>
                <w:szCs w:val="24"/>
              </w:rPr>
              <w:t>需要</w:t>
            </w:r>
            <w:r>
              <w:rPr>
                <w:rFonts w:ascii="宋体" w:hAnsi="宋体" w:hint="eastAsia"/>
                <w:sz w:val="21"/>
                <w:szCs w:val="24"/>
              </w:rPr>
              <w:t>选用不同做法</w:t>
            </w:r>
            <w:r>
              <w:rPr>
                <w:rFonts w:ascii="宋体" w:hAnsi="宋体"/>
                <w:sz w:val="21"/>
                <w:szCs w:val="24"/>
              </w:rPr>
              <w:t>）</w:t>
            </w:r>
            <w:r>
              <w:rPr>
                <w:rFonts w:ascii="宋体" w:hAnsi="宋体" w:hint="eastAsia"/>
                <w:sz w:val="21"/>
                <w:szCs w:val="24"/>
              </w:rPr>
              <w:t>；</w:t>
            </w:r>
            <w:r>
              <w:rPr>
                <w:rFonts w:ascii="宋体" w:hAnsi="宋体" w:hint="eastAsia"/>
                <w:sz w:val="21"/>
                <w:szCs w:val="24"/>
              </w:rPr>
              <w:t>3</w:t>
            </w:r>
            <w:r>
              <w:rPr>
                <w:rFonts w:ascii="宋体" w:hAnsi="宋体"/>
                <w:sz w:val="21"/>
                <w:szCs w:val="24"/>
              </w:rPr>
              <w:t>-</w:t>
            </w:r>
            <w:r>
              <w:rPr>
                <w:rFonts w:ascii="宋体" w:hAnsi="宋体"/>
                <w:sz w:val="21"/>
                <w:szCs w:val="24"/>
              </w:rPr>
              <w:t>装配式面层</w:t>
            </w:r>
          </w:p>
        </w:tc>
      </w:tr>
    </w:tbl>
    <w:p w14:paraId="515F3748" w14:textId="77777777" w:rsidR="00622EE7" w:rsidRDefault="00E60909">
      <w:pPr>
        <w:pStyle w:val="af5"/>
        <w:spacing w:before="60"/>
        <w:ind w:firstLineChars="200" w:firstLine="422"/>
        <w:jc w:val="center"/>
        <w:rPr>
          <w:rFonts w:ascii="宋体" w:eastAsia="宋体" w:hAnsi="宋体"/>
          <w:b/>
          <w:color w:val="auto"/>
        </w:rPr>
      </w:pPr>
      <w:r>
        <w:rPr>
          <w:rFonts w:ascii="宋体" w:eastAsia="宋体" w:hAnsi="宋体"/>
          <w:b/>
          <w:color w:val="auto"/>
          <w:sz w:val="21"/>
          <w:szCs w:val="24"/>
        </w:rPr>
        <w:t>图</w:t>
      </w:r>
      <w:r>
        <w:rPr>
          <w:rFonts w:ascii="宋体" w:eastAsia="宋体" w:hAnsi="宋体"/>
          <w:b/>
          <w:color w:val="auto"/>
          <w:sz w:val="21"/>
          <w:szCs w:val="24"/>
        </w:rPr>
        <w:t xml:space="preserve">2 </w:t>
      </w:r>
      <w:r>
        <w:rPr>
          <w:rFonts w:ascii="宋体" w:eastAsia="宋体" w:hAnsi="宋体" w:hint="eastAsia"/>
          <w:b/>
          <w:color w:val="auto"/>
          <w:sz w:val="21"/>
          <w:szCs w:val="24"/>
        </w:rPr>
        <w:t>装配式楼地面类型</w:t>
      </w:r>
    </w:p>
    <w:p w14:paraId="4CD8A7D6"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采用装配式厨卫时，建筑设计应协调结构、内装、设备等专业共同确定集成厨房、装配式</w:t>
      </w:r>
      <w:r>
        <w:rPr>
          <w:rFonts w:ascii="Times New Roman" w:eastAsia="宋体" w:hAnsi="Times New Roman" w:hint="eastAsia"/>
          <w:color w:val="auto"/>
        </w:rPr>
        <w:t>整体</w:t>
      </w:r>
      <w:r>
        <w:rPr>
          <w:rFonts w:ascii="Times New Roman" w:eastAsia="宋体" w:hAnsi="Times New Roman"/>
          <w:color w:val="auto"/>
        </w:rPr>
        <w:t>卫生间的布局方案、结构方案、设备管线敷设方式和路径、主体结构孔洞尺寸预留以及管道井位置等。装配式</w:t>
      </w:r>
      <w:r>
        <w:rPr>
          <w:rFonts w:ascii="Times New Roman" w:eastAsia="宋体" w:hAnsi="Times New Roman" w:hint="eastAsia"/>
          <w:color w:val="auto"/>
        </w:rPr>
        <w:t>整体</w:t>
      </w:r>
      <w:r>
        <w:rPr>
          <w:rFonts w:ascii="Times New Roman" w:eastAsia="宋体" w:hAnsi="Times New Roman"/>
          <w:color w:val="auto"/>
        </w:rPr>
        <w:t>卫生间应满足</w:t>
      </w:r>
      <w:proofErr w:type="gramStart"/>
      <w:r>
        <w:rPr>
          <w:rFonts w:ascii="Times New Roman" w:eastAsia="宋体" w:hAnsi="Times New Roman"/>
          <w:color w:val="auto"/>
        </w:rPr>
        <w:t>现行行业</w:t>
      </w:r>
      <w:proofErr w:type="gramEnd"/>
      <w:r>
        <w:rPr>
          <w:rFonts w:ascii="Times New Roman" w:eastAsia="宋体" w:hAnsi="Times New Roman"/>
          <w:color w:val="auto"/>
        </w:rPr>
        <w:t>标准《装配式整体卫生间应用技术标准》</w:t>
      </w:r>
      <w:r>
        <w:rPr>
          <w:rFonts w:ascii="Times New Roman" w:eastAsia="宋体" w:hAnsi="Times New Roman"/>
          <w:color w:val="auto"/>
        </w:rPr>
        <w:t>JGJ/T 467</w:t>
      </w:r>
      <w:r>
        <w:rPr>
          <w:rFonts w:ascii="Times New Roman" w:eastAsia="宋体" w:hAnsi="Times New Roman"/>
          <w:color w:val="auto"/>
        </w:rPr>
        <w:t>的要求。门窗洞口应与建筑</w:t>
      </w:r>
      <w:proofErr w:type="gramStart"/>
      <w:r>
        <w:rPr>
          <w:rFonts w:ascii="Times New Roman" w:eastAsia="宋体" w:hAnsi="Times New Roman"/>
          <w:color w:val="auto"/>
        </w:rPr>
        <w:t>外围合墙体协</w:t>
      </w:r>
      <w:proofErr w:type="gramEnd"/>
      <w:r>
        <w:rPr>
          <w:rFonts w:ascii="Times New Roman" w:eastAsia="宋体" w:hAnsi="Times New Roman"/>
          <w:color w:val="auto"/>
        </w:rPr>
        <w:t>同设计，门垛、</w:t>
      </w:r>
      <w:proofErr w:type="gramStart"/>
      <w:r>
        <w:rPr>
          <w:rFonts w:ascii="Times New Roman" w:eastAsia="宋体" w:hAnsi="Times New Roman"/>
          <w:color w:val="auto"/>
        </w:rPr>
        <w:t>窗垛尺寸</w:t>
      </w:r>
      <w:proofErr w:type="gramEnd"/>
      <w:r>
        <w:rPr>
          <w:rFonts w:ascii="Times New Roman" w:eastAsia="宋体" w:hAnsi="Times New Roman"/>
          <w:color w:val="auto"/>
        </w:rPr>
        <w:t>均不宜小于</w:t>
      </w:r>
      <w:r>
        <w:rPr>
          <w:rFonts w:ascii="Times New Roman" w:eastAsia="宋体" w:hAnsi="Times New Roman"/>
          <w:color w:val="auto"/>
        </w:rPr>
        <w:t>100mm</w:t>
      </w:r>
      <w:r>
        <w:rPr>
          <w:rFonts w:ascii="Times New Roman" w:eastAsia="宋体" w:hAnsi="Times New Roman"/>
          <w:color w:val="auto"/>
        </w:rPr>
        <w:t>。</w:t>
      </w:r>
    </w:p>
    <w:p w14:paraId="2EAB9F0D" w14:textId="77777777" w:rsidR="00622EE7" w:rsidRDefault="00E60909">
      <w:pPr>
        <w:spacing w:beforeLines="50" w:before="156" w:afterLines="50" w:after="156" w:line="360" w:lineRule="auto"/>
        <w:jc w:val="center"/>
        <w:outlineLvl w:val="1"/>
        <w:rPr>
          <w:rFonts w:ascii="Times New Roman" w:eastAsia="黑体" w:hAnsi="Times New Roman"/>
        </w:rPr>
      </w:pPr>
      <w:bookmarkStart w:id="114" w:name="_Toc182841391"/>
      <w:bookmarkStart w:id="115" w:name="_Toc181092570"/>
      <w:r>
        <w:rPr>
          <w:rFonts w:ascii="Times New Roman" w:eastAsia="黑体" w:hAnsi="Times New Roman" w:hint="eastAsia"/>
        </w:rPr>
        <w:t>4</w:t>
      </w:r>
      <w:r>
        <w:rPr>
          <w:rFonts w:ascii="Times New Roman" w:eastAsia="黑体" w:hAnsi="Times New Roman"/>
        </w:rPr>
        <w:t xml:space="preserve">.3 </w:t>
      </w:r>
      <w:r>
        <w:rPr>
          <w:rFonts w:ascii="Times New Roman" w:eastAsia="黑体" w:hAnsi="Times New Roman" w:hint="eastAsia"/>
        </w:rPr>
        <w:t>绿色和低碳建材</w:t>
      </w:r>
      <w:bookmarkEnd w:id="114"/>
      <w:bookmarkEnd w:id="115"/>
    </w:p>
    <w:p w14:paraId="0901753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4.3.2  </w:t>
      </w:r>
      <w:r>
        <w:rPr>
          <w:rFonts w:ascii="Times New Roman" w:eastAsia="宋体" w:hAnsi="Times New Roman"/>
          <w:color w:val="auto"/>
        </w:rPr>
        <w:t>采用当地生产的建材有利于当地建材产业的发展，也有利于降低建材运输过程中的碳排放，但采用本地建材不能降低建材的品质标准。</w:t>
      </w:r>
    </w:p>
    <w:p w14:paraId="17F98683"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4.3.3~4.3.4  </w:t>
      </w:r>
      <w:r>
        <w:rPr>
          <w:rFonts w:ascii="Times New Roman" w:eastAsia="宋体" w:hAnsi="Times New Roman" w:hint="eastAsia"/>
          <w:color w:val="auto"/>
        </w:rPr>
        <w:t>可在循环、可再利用材料和</w:t>
      </w:r>
      <w:proofErr w:type="gramStart"/>
      <w:r>
        <w:rPr>
          <w:rFonts w:ascii="Times New Roman" w:eastAsia="宋体" w:hAnsi="Times New Roman" w:hint="eastAsia"/>
          <w:color w:val="auto"/>
        </w:rPr>
        <w:t>利废</w:t>
      </w:r>
      <w:proofErr w:type="gramEnd"/>
      <w:r>
        <w:rPr>
          <w:rFonts w:ascii="Times New Roman" w:eastAsia="宋体" w:hAnsi="Times New Roman" w:hint="eastAsia"/>
          <w:color w:val="auto"/>
        </w:rPr>
        <w:t>建材的认定和计算与绿色建筑评价标准保持一致。</w:t>
      </w:r>
    </w:p>
    <w:p w14:paraId="5AA9FB6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4.3.5  </w:t>
      </w:r>
      <w:r>
        <w:rPr>
          <w:rFonts w:ascii="Times New Roman" w:eastAsia="宋体" w:hAnsi="Times New Roman"/>
          <w:color w:val="auto"/>
        </w:rPr>
        <w:t>绿色建材在全寿命期内可减少对资源的消耗、减轻对生态环境的影响，具有节能、减排、安全、健康、便利和</w:t>
      </w:r>
      <w:proofErr w:type="gramStart"/>
      <w:r>
        <w:rPr>
          <w:rFonts w:ascii="Times New Roman" w:eastAsia="宋体" w:hAnsi="Times New Roman"/>
          <w:color w:val="auto"/>
        </w:rPr>
        <w:t>可</w:t>
      </w:r>
      <w:proofErr w:type="gramEnd"/>
      <w:r>
        <w:rPr>
          <w:rFonts w:ascii="Times New Roman" w:eastAsia="宋体" w:hAnsi="Times New Roman"/>
          <w:color w:val="auto"/>
        </w:rPr>
        <w:t>循环特征的建材产品。</w:t>
      </w:r>
    </w:p>
    <w:p w14:paraId="461F420A"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 xml:space="preserve">4.3.6  </w:t>
      </w:r>
      <w:r>
        <w:rPr>
          <w:rFonts w:ascii="Times New Roman" w:eastAsia="宋体" w:hAnsi="Times New Roman"/>
          <w:color w:val="auto"/>
        </w:rPr>
        <w:t>装配式条板墙体可用于外围护墙和内隔墙，</w:t>
      </w:r>
      <w:proofErr w:type="gramStart"/>
      <w:r>
        <w:rPr>
          <w:rFonts w:ascii="Times New Roman" w:eastAsia="宋体" w:hAnsi="Times New Roman"/>
          <w:color w:val="auto"/>
        </w:rPr>
        <w:t>当用于</w:t>
      </w:r>
      <w:proofErr w:type="gramEnd"/>
      <w:r>
        <w:rPr>
          <w:rFonts w:ascii="Times New Roman" w:eastAsia="宋体" w:hAnsi="Times New Roman"/>
          <w:color w:val="auto"/>
        </w:rPr>
        <w:t>外围护系统时，一般在其外侧设置装饰板材或保温装饰一体板材，应满足装饰、防水、保温、防冷桥等要求。</w:t>
      </w:r>
    </w:p>
    <w:p w14:paraId="38355160"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采</w:t>
      </w:r>
      <w:r>
        <w:rPr>
          <w:rFonts w:ascii="Times New Roman" w:eastAsia="宋体" w:hAnsi="Times New Roman"/>
          <w:color w:val="auto"/>
        </w:rPr>
        <w:t>用装配式骨架复合板外墙围护系统时</w:t>
      </w:r>
      <w:r>
        <w:rPr>
          <w:rFonts w:ascii="Times New Roman" w:eastAsia="宋体" w:hAnsi="Times New Roman"/>
          <w:color w:val="auto"/>
        </w:rPr>
        <w:t>,</w:t>
      </w:r>
      <w:r>
        <w:rPr>
          <w:rFonts w:ascii="Times New Roman" w:eastAsia="宋体" w:hAnsi="Times New Roman"/>
          <w:color w:val="auto"/>
        </w:rPr>
        <w:t>外墙围护的结构骨架可采用钢结构</w:t>
      </w:r>
      <w:r>
        <w:rPr>
          <w:rFonts w:ascii="Times New Roman" w:eastAsia="宋体" w:hAnsi="Times New Roman" w:hint="eastAsia"/>
          <w:color w:val="auto"/>
        </w:rPr>
        <w:t>、</w:t>
      </w:r>
      <w:r>
        <w:rPr>
          <w:rFonts w:ascii="Times New Roman" w:eastAsia="宋体" w:hAnsi="Times New Roman"/>
          <w:color w:val="auto"/>
        </w:rPr>
        <w:t>铝合金结构的材料。</w:t>
      </w:r>
    </w:p>
    <w:p w14:paraId="707F9E3F"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保温结构一体化墙体除可应用于装配式骨架复合板墙体，也可采用钢丝网架混凝土复合板、自保温混凝土复合砌块等类型。</w:t>
      </w:r>
    </w:p>
    <w:p w14:paraId="6AE6D6F0" w14:textId="77777777" w:rsidR="00622EE7" w:rsidRDefault="00E60909">
      <w:pPr>
        <w:spacing w:beforeLines="50" w:before="156" w:afterLines="50" w:after="156" w:line="360" w:lineRule="auto"/>
        <w:jc w:val="center"/>
        <w:outlineLvl w:val="1"/>
        <w:rPr>
          <w:rFonts w:ascii="Times New Roman" w:eastAsia="黑体" w:hAnsi="Times New Roman"/>
        </w:rPr>
      </w:pPr>
      <w:bookmarkStart w:id="116" w:name="_Toc181092571"/>
      <w:bookmarkStart w:id="117" w:name="_Toc182841392"/>
      <w:r>
        <w:rPr>
          <w:rFonts w:ascii="Times New Roman" w:eastAsia="黑体" w:hAnsi="Times New Roman"/>
        </w:rPr>
        <w:t xml:space="preserve">4.4 </w:t>
      </w:r>
      <w:r>
        <w:rPr>
          <w:rFonts w:ascii="Times New Roman" w:eastAsia="黑体" w:hAnsi="Times New Roman" w:hint="eastAsia"/>
        </w:rPr>
        <w:t>建造策划</w:t>
      </w:r>
      <w:bookmarkEnd w:id="116"/>
      <w:bookmarkEnd w:id="117"/>
    </w:p>
    <w:p w14:paraId="34D09F5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4.4.4  </w:t>
      </w:r>
      <w:r>
        <w:rPr>
          <w:rFonts w:ascii="Times New Roman" w:eastAsia="宋体" w:hAnsi="Times New Roman"/>
          <w:color w:val="auto"/>
        </w:rPr>
        <w:t>当采用绿色施工时，宜对照现行国家标准《建筑与市政工程绿色施工评价标准》</w:t>
      </w:r>
      <w:r>
        <w:rPr>
          <w:rFonts w:ascii="Times New Roman" w:eastAsia="宋体" w:hAnsi="Times New Roman"/>
          <w:color w:val="auto"/>
        </w:rPr>
        <w:t>GB/T 50640</w:t>
      </w:r>
      <w:r>
        <w:rPr>
          <w:rFonts w:ascii="Times New Roman" w:eastAsia="宋体" w:hAnsi="Times New Roman"/>
          <w:color w:val="auto"/>
        </w:rPr>
        <w:t>和相关地方标准的要求进行绿色施工影响因素分析，并明确绿色施工目标。施工现场宜采用地磅或自动监测平台</w:t>
      </w:r>
      <w:r>
        <w:rPr>
          <w:rFonts w:ascii="Times New Roman" w:eastAsia="宋体" w:hAnsi="Times New Roman"/>
          <w:color w:val="auto"/>
        </w:rPr>
        <w:t>,</w:t>
      </w:r>
      <w:r>
        <w:rPr>
          <w:rFonts w:ascii="Times New Roman" w:eastAsia="宋体" w:hAnsi="Times New Roman"/>
          <w:color w:val="auto"/>
        </w:rPr>
        <w:t>动态计量建筑废弃物重量，建筑垃圾回收利用率</w:t>
      </w:r>
      <w:proofErr w:type="gramStart"/>
      <w:r>
        <w:rPr>
          <w:rFonts w:ascii="Times New Roman" w:eastAsia="宋体" w:hAnsi="Times New Roman"/>
          <w:color w:val="auto"/>
        </w:rPr>
        <w:t>宜达到</w:t>
      </w:r>
      <w:proofErr w:type="gramEnd"/>
      <w:r>
        <w:rPr>
          <w:rFonts w:ascii="Times New Roman" w:eastAsia="宋体" w:hAnsi="Times New Roman"/>
          <w:color w:val="auto"/>
        </w:rPr>
        <w:t>50%</w:t>
      </w:r>
      <w:r>
        <w:rPr>
          <w:rFonts w:ascii="Times New Roman" w:eastAsia="宋体" w:hAnsi="Times New Roman"/>
          <w:color w:val="auto"/>
        </w:rPr>
        <w:t>。</w:t>
      </w:r>
    </w:p>
    <w:p w14:paraId="427E751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4.4.5  </w:t>
      </w:r>
      <w:r>
        <w:rPr>
          <w:rFonts w:ascii="Times New Roman" w:eastAsia="宋体" w:hAnsi="Times New Roman"/>
          <w:color w:val="auto"/>
        </w:rPr>
        <w:t>智慧工地是建立在高度信</w:t>
      </w:r>
      <w:r>
        <w:rPr>
          <w:rFonts w:ascii="Times New Roman" w:eastAsia="宋体" w:hAnsi="Times New Roman"/>
          <w:color w:val="auto"/>
        </w:rPr>
        <w:t>息化基础上的一种支持对人和物全面感知、施工技术全面智能化、工作互通互联、信息协同共享、决策科学分析、风险智慧预控的建筑施工项目的实施模式。《鄂尔多斯市住房和城乡建设事业发展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w:t>
      </w:r>
      <w:r>
        <w:rPr>
          <w:rFonts w:ascii="Times New Roman" w:eastAsia="宋体" w:hAnsi="Times New Roman"/>
          <w:color w:val="auto"/>
        </w:rPr>
        <w:t>“</w:t>
      </w:r>
      <w:r>
        <w:rPr>
          <w:rFonts w:ascii="Times New Roman" w:eastAsia="宋体" w:hAnsi="Times New Roman"/>
          <w:color w:val="auto"/>
        </w:rPr>
        <w:t>通过信息化手段监测并管控建筑施工现场扬尘、噪声、光、污水、有害气体、固体废物的产生。不断完善智慧工地监管平台，推动传感器网络、低功耗广域网、</w:t>
      </w:r>
      <w:r>
        <w:rPr>
          <w:rFonts w:ascii="Times New Roman" w:eastAsia="宋体" w:hAnsi="Times New Roman"/>
          <w:color w:val="auto"/>
        </w:rPr>
        <w:t>5G</w:t>
      </w:r>
      <w:r>
        <w:rPr>
          <w:rFonts w:ascii="Times New Roman" w:eastAsia="宋体" w:hAnsi="Times New Roman"/>
          <w:color w:val="auto"/>
        </w:rPr>
        <w:t>、边缘计算、射频识别（</w:t>
      </w:r>
      <w:r>
        <w:rPr>
          <w:rFonts w:ascii="Times New Roman" w:eastAsia="宋体" w:hAnsi="Times New Roman"/>
          <w:color w:val="auto"/>
        </w:rPr>
        <w:t>RFID</w:t>
      </w:r>
      <w:r>
        <w:rPr>
          <w:rFonts w:ascii="Times New Roman" w:eastAsia="宋体" w:hAnsi="Times New Roman"/>
          <w:color w:val="auto"/>
        </w:rPr>
        <w:t>）及</w:t>
      </w:r>
      <w:proofErr w:type="gramStart"/>
      <w:r>
        <w:rPr>
          <w:rFonts w:ascii="Times New Roman" w:eastAsia="宋体" w:hAnsi="Times New Roman"/>
          <w:color w:val="auto"/>
        </w:rPr>
        <w:t>二维码识别</w:t>
      </w:r>
      <w:proofErr w:type="gramEnd"/>
      <w:r>
        <w:rPr>
          <w:rFonts w:ascii="Times New Roman" w:eastAsia="宋体" w:hAnsi="Times New Roman"/>
          <w:color w:val="auto"/>
        </w:rPr>
        <w:t>等物联网技术在智慧工地的集成应用，实现安全生产远程管理。</w:t>
      </w:r>
    </w:p>
    <w:p w14:paraId="085F1069" w14:textId="77777777" w:rsidR="00622EE7" w:rsidRDefault="00E60909">
      <w:pPr>
        <w:spacing w:beforeLines="50" w:before="156" w:afterLines="50" w:after="156" w:line="360" w:lineRule="auto"/>
        <w:jc w:val="center"/>
        <w:outlineLvl w:val="1"/>
        <w:rPr>
          <w:rFonts w:ascii="Times New Roman" w:eastAsia="黑体" w:hAnsi="Times New Roman"/>
        </w:rPr>
      </w:pPr>
      <w:bookmarkStart w:id="118" w:name="_Toc182841393"/>
      <w:bookmarkStart w:id="119" w:name="_Toc181092572"/>
      <w:r>
        <w:rPr>
          <w:rFonts w:ascii="Times New Roman" w:eastAsia="黑体" w:hAnsi="Times New Roman"/>
        </w:rPr>
        <w:t xml:space="preserve">4.5 </w:t>
      </w:r>
      <w:r>
        <w:rPr>
          <w:rFonts w:ascii="Times New Roman" w:eastAsia="黑体" w:hAnsi="Times New Roman" w:hint="eastAsia"/>
        </w:rPr>
        <w:t>其他策划项目</w:t>
      </w:r>
      <w:bookmarkEnd w:id="118"/>
      <w:bookmarkEnd w:id="119"/>
    </w:p>
    <w:p w14:paraId="420534D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4.5.1  </w:t>
      </w:r>
      <w:r>
        <w:rPr>
          <w:rFonts w:ascii="Times New Roman" w:eastAsia="宋体" w:hAnsi="Times New Roman"/>
          <w:color w:val="auto"/>
        </w:rPr>
        <w:t>建筑信息模型</w:t>
      </w:r>
      <w:r>
        <w:rPr>
          <w:rFonts w:ascii="Times New Roman" w:eastAsia="宋体" w:hAnsi="Times New Roman"/>
          <w:color w:val="auto"/>
        </w:rPr>
        <w:t>BIM</w:t>
      </w:r>
      <w:r>
        <w:rPr>
          <w:rFonts w:ascii="Times New Roman" w:eastAsia="宋体" w:hAnsi="Times New Roman"/>
          <w:color w:val="auto"/>
        </w:rPr>
        <w:t>（</w:t>
      </w:r>
      <w:r>
        <w:rPr>
          <w:rFonts w:ascii="Times New Roman" w:eastAsia="宋体" w:hAnsi="Times New Roman"/>
          <w:color w:val="auto"/>
        </w:rPr>
        <w:t>Buildi</w:t>
      </w:r>
      <w:r>
        <w:rPr>
          <w:rFonts w:ascii="Times New Roman" w:eastAsia="宋体" w:hAnsi="Times New Roman"/>
          <w:color w:val="auto"/>
        </w:rPr>
        <w:t>ng Information Modeling</w:t>
      </w:r>
      <w:r>
        <w:rPr>
          <w:rFonts w:ascii="Times New Roman" w:eastAsia="宋体" w:hAnsi="Times New Roman"/>
          <w:color w:val="auto"/>
        </w:rPr>
        <w:t>）集成了建筑工程项目各种相关信息的工程数据模型，通过三维可视化模型帮助设计师更直观地查看设计方案，提前发现并解决潜在问题。</w:t>
      </w:r>
      <w:r>
        <w:rPr>
          <w:rFonts w:ascii="Times New Roman" w:eastAsia="宋体" w:hAnsi="Times New Roman"/>
          <w:color w:val="auto"/>
        </w:rPr>
        <w:t>BIM</w:t>
      </w:r>
      <w:r>
        <w:rPr>
          <w:rFonts w:ascii="Times New Roman" w:eastAsia="宋体" w:hAnsi="Times New Roman"/>
          <w:color w:val="auto"/>
        </w:rPr>
        <w:t>促进了多专业协同工作，支持结构、机电、给排水等不同专业在同一模型中协同设计，减少冲突和误差。</w:t>
      </w:r>
      <w:r>
        <w:rPr>
          <w:rFonts w:ascii="Times New Roman" w:eastAsia="宋体" w:hAnsi="Times New Roman"/>
          <w:color w:val="auto"/>
        </w:rPr>
        <w:t>BIM</w:t>
      </w:r>
      <w:r>
        <w:rPr>
          <w:rFonts w:ascii="Times New Roman" w:eastAsia="宋体" w:hAnsi="Times New Roman"/>
          <w:color w:val="auto"/>
        </w:rPr>
        <w:t>还能实现精细化成本控制，通过精确计算所需材料数量，减少浪费，有助于控制成本。</w:t>
      </w:r>
      <w:r>
        <w:rPr>
          <w:rFonts w:ascii="Times New Roman" w:eastAsia="宋体" w:hAnsi="Times New Roman"/>
          <w:color w:val="auto"/>
        </w:rPr>
        <w:t>BIM</w:t>
      </w:r>
      <w:r>
        <w:rPr>
          <w:rFonts w:ascii="Times New Roman" w:eastAsia="宋体" w:hAnsi="Times New Roman"/>
          <w:color w:val="auto"/>
        </w:rPr>
        <w:t>技术支持施工模拟和碰撞检测，提前发现设计中的冲突，减少施工过程中的返工，提高施工现场的安全性。</w:t>
      </w:r>
    </w:p>
    <w:p w14:paraId="5CC89B0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4.5.2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w:t>
      </w:r>
      <w:r>
        <w:rPr>
          <w:rFonts w:ascii="Times New Roman" w:eastAsia="宋体" w:hAnsi="Times New Roman" w:hint="eastAsia"/>
          <w:color w:val="auto"/>
        </w:rPr>
        <w:t>：</w:t>
      </w:r>
      <w:r>
        <w:rPr>
          <w:rFonts w:ascii="Times New Roman" w:eastAsia="宋体" w:hAnsi="Times New Roman"/>
          <w:color w:val="auto"/>
        </w:rPr>
        <w:t>加快推</w:t>
      </w:r>
      <w:r>
        <w:rPr>
          <w:rFonts w:ascii="Times New Roman" w:eastAsia="宋体" w:hAnsi="Times New Roman"/>
          <w:color w:val="auto"/>
        </w:rPr>
        <w:lastRenderedPageBreak/>
        <w:t>进</w:t>
      </w:r>
      <w:r>
        <w:rPr>
          <w:rFonts w:ascii="Times New Roman" w:eastAsia="宋体" w:hAnsi="Times New Roman"/>
          <w:color w:val="auto"/>
        </w:rPr>
        <w:t>BIM</w:t>
      </w:r>
      <w:r>
        <w:rPr>
          <w:rFonts w:ascii="Times New Roman" w:eastAsia="宋体" w:hAnsi="Times New Roman"/>
          <w:color w:val="auto"/>
        </w:rPr>
        <w:t>技术在新型建筑全生命周期的一体化集成应用，推进建筑、结构、设备管线、装饰装修等多专业一体化集成设计和数据共享，实现设计与生产、施工的深度融合。</w:t>
      </w:r>
    </w:p>
    <w:p w14:paraId="16F1537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4.5.4~4.5.6  </w:t>
      </w:r>
      <w:r>
        <w:rPr>
          <w:rFonts w:ascii="Times New Roman" w:eastAsia="宋体" w:hAnsi="Times New Roman"/>
          <w:color w:val="auto"/>
        </w:rPr>
        <w:t>使用者正确地使用维护建筑空间，是住宅建筑能够长久使用的前提，也是降低建筑全生命周期碳排放的重要措施之一。标明结构构件的位置可以有效避免无序装修，减少装修安全隐患，隐蔽工程的图纸可帮助住户进行维护，以及在局部改造时进行避让，因此本条推荐交付时，建设单位向物业服务单位及购</w:t>
      </w:r>
      <w:r>
        <w:rPr>
          <w:rFonts w:ascii="Times New Roman" w:eastAsia="宋体" w:hAnsi="Times New Roman"/>
          <w:color w:val="auto"/>
        </w:rPr>
        <w:t>房者提供完善的住宅使用说明书（或使用手册）</w:t>
      </w:r>
      <w:r>
        <w:rPr>
          <w:rFonts w:ascii="Times New Roman" w:eastAsia="宋体" w:hAnsi="Times New Roman" w:hint="eastAsia"/>
          <w:color w:val="auto"/>
        </w:rPr>
        <w:t>，包含承重墙和其他结构构件的位置、水电隐蔽工程位置、空间布局的建议和改造</w:t>
      </w:r>
      <w:r>
        <w:rPr>
          <w:rFonts w:ascii="Times New Roman" w:eastAsia="宋体" w:hAnsi="Times New Roman"/>
          <w:color w:val="auto"/>
        </w:rPr>
        <w:t>建议</w:t>
      </w:r>
      <w:r>
        <w:rPr>
          <w:rFonts w:ascii="Times New Roman" w:eastAsia="宋体" w:hAnsi="Times New Roman" w:hint="eastAsia"/>
          <w:color w:val="auto"/>
        </w:rPr>
        <w:t>，有条件时包含隐蔽工程验收记录，并采用电子化文档的形式，方便查找。</w:t>
      </w:r>
    </w:p>
    <w:p w14:paraId="431B948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4.5.7  </w:t>
      </w:r>
      <w:r>
        <w:rPr>
          <w:rFonts w:ascii="Times New Roman" w:eastAsia="宋体" w:hAnsi="Times New Roman"/>
          <w:color w:val="auto"/>
        </w:rPr>
        <w:t>实施时</w:t>
      </w:r>
      <w:r>
        <w:rPr>
          <w:rFonts w:ascii="Times New Roman" w:eastAsia="宋体" w:hAnsi="Times New Roman" w:hint="eastAsia"/>
          <w:color w:val="auto"/>
        </w:rPr>
        <w:t>可</w:t>
      </w:r>
      <w:r>
        <w:rPr>
          <w:rFonts w:ascii="Times New Roman" w:eastAsia="宋体" w:hAnsi="Times New Roman"/>
          <w:color w:val="auto"/>
        </w:rPr>
        <w:t>由开发商和总包单</w:t>
      </w:r>
      <w:proofErr w:type="gramStart"/>
      <w:r>
        <w:rPr>
          <w:rFonts w:ascii="Times New Roman" w:eastAsia="宋体" w:hAnsi="Times New Roman"/>
          <w:color w:val="auto"/>
        </w:rPr>
        <w:t>位签订</w:t>
      </w:r>
      <w:proofErr w:type="gramEnd"/>
      <w:r>
        <w:rPr>
          <w:rFonts w:ascii="Times New Roman" w:eastAsia="宋体" w:hAnsi="Times New Roman"/>
          <w:color w:val="auto"/>
        </w:rPr>
        <w:t>承诺书，或采取其他可行的管控措施。</w:t>
      </w:r>
    </w:p>
    <w:p w14:paraId="141D1360" w14:textId="77777777" w:rsidR="00622EE7" w:rsidRDefault="00E60909">
      <w:pPr>
        <w:pStyle w:val="af3"/>
        <w:spacing w:beforeLines="25" w:before="78"/>
        <w:ind w:firstLineChars="0" w:firstLine="0"/>
        <w:contextualSpacing/>
      </w:pPr>
      <w:r>
        <w:rPr>
          <w:b/>
        </w:rPr>
        <w:t xml:space="preserve">4.5.8  </w:t>
      </w:r>
      <w:r>
        <w:t>建设</w:t>
      </w:r>
      <w:r>
        <w:t>“</w:t>
      </w:r>
      <w:r>
        <w:t>好房子</w:t>
      </w:r>
      <w:r>
        <w:t>”</w:t>
      </w:r>
      <w:r>
        <w:t>，在体制机制上，建立房屋体检、房屋养老金、房屋保险等制度，是提升住房的长期优良性能的重要举措。《鄂尔多斯市住房和城乡建设事业发展</w:t>
      </w:r>
      <w:r>
        <w:t>“</w:t>
      </w:r>
      <w:r>
        <w:t>十四五</w:t>
      </w:r>
      <w:r>
        <w:t>”</w:t>
      </w:r>
      <w:r>
        <w:t>规划》也明确提出推动发展建筑工程保险的要求。</w:t>
      </w:r>
    </w:p>
    <w:p w14:paraId="3A7CFCAD" w14:textId="77777777" w:rsidR="00622EE7" w:rsidRDefault="00622EE7">
      <w:pPr>
        <w:pStyle w:val="af5"/>
        <w:rPr>
          <w:rFonts w:ascii="Times New Roman" w:hAnsi="Times New Roman"/>
          <w:color w:val="auto"/>
        </w:rPr>
      </w:pPr>
    </w:p>
    <w:p w14:paraId="67F65887" w14:textId="77777777" w:rsidR="00622EE7" w:rsidRDefault="00E60909">
      <w:pPr>
        <w:pStyle w:val="1"/>
        <w:spacing w:after="0"/>
        <w:rPr>
          <w:rFonts w:ascii="黑体" w:eastAsia="黑体" w:hAnsi="黑体"/>
        </w:rPr>
      </w:pPr>
      <w:bookmarkStart w:id="120" w:name="_Toc181092573"/>
      <w:bookmarkStart w:id="121" w:name="_Toc182841394"/>
      <w:r>
        <w:rPr>
          <w:rFonts w:ascii="黑体" w:eastAsia="黑体" w:hAnsi="黑体"/>
        </w:rPr>
        <w:lastRenderedPageBreak/>
        <w:t xml:space="preserve">5 </w:t>
      </w:r>
      <w:r>
        <w:rPr>
          <w:rFonts w:ascii="黑体" w:eastAsia="黑体" w:hAnsi="黑体" w:hint="eastAsia"/>
        </w:rPr>
        <w:t xml:space="preserve"> </w:t>
      </w:r>
      <w:r>
        <w:rPr>
          <w:rFonts w:ascii="黑体" w:eastAsia="黑体" w:hAnsi="黑体" w:hint="eastAsia"/>
        </w:rPr>
        <w:t>小区规划、景观与配套</w:t>
      </w:r>
      <w:bookmarkEnd w:id="120"/>
      <w:bookmarkEnd w:id="121"/>
    </w:p>
    <w:p w14:paraId="70AF3185" w14:textId="77777777" w:rsidR="00622EE7" w:rsidRDefault="00E60909">
      <w:pPr>
        <w:spacing w:beforeLines="50" w:before="156" w:afterLines="50" w:after="156" w:line="360" w:lineRule="auto"/>
        <w:jc w:val="center"/>
        <w:outlineLvl w:val="1"/>
        <w:rPr>
          <w:rFonts w:ascii="Times New Roman" w:eastAsia="黑体" w:hAnsi="Times New Roman"/>
        </w:rPr>
      </w:pPr>
      <w:bookmarkStart w:id="122" w:name="_Toc182841395"/>
      <w:bookmarkStart w:id="123" w:name="_Toc181092574"/>
      <w:r>
        <w:rPr>
          <w:rFonts w:ascii="Times New Roman" w:eastAsia="黑体" w:hAnsi="Times New Roman"/>
        </w:rPr>
        <w:t xml:space="preserve">5.1 </w:t>
      </w:r>
      <w:r>
        <w:rPr>
          <w:rFonts w:ascii="Times New Roman" w:eastAsia="黑体" w:hAnsi="Times New Roman" w:hint="eastAsia"/>
        </w:rPr>
        <w:t>总平面布局</w:t>
      </w:r>
      <w:bookmarkEnd w:id="122"/>
      <w:bookmarkEnd w:id="123"/>
    </w:p>
    <w:p w14:paraId="0C0BAC8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5.1.2  </w:t>
      </w:r>
      <w:r>
        <w:rPr>
          <w:rFonts w:ascii="Times New Roman" w:eastAsia="宋体" w:hAnsi="Times New Roman"/>
          <w:color w:val="auto"/>
        </w:rPr>
        <w:t>应尊重当地气候及地形地貌等自然条件，合理布局建筑及景观，保持场地内的生态系统与场地外生态系统的连贯性。在建设过程中确需改造场地内的地形、地貌、植被等时，应在工程结束后及时采取生态复原措施，减少对原场地环境的改变和破坏。</w:t>
      </w:r>
    </w:p>
    <w:p w14:paraId="36E6C8E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5.1.6  </w:t>
      </w:r>
      <w:r>
        <w:rPr>
          <w:rFonts w:ascii="Times New Roman" w:eastAsia="宋体" w:hAnsi="Times New Roman"/>
          <w:color w:val="auto"/>
        </w:rPr>
        <w:t>合理的尺度</w:t>
      </w:r>
      <w:r>
        <w:rPr>
          <w:rFonts w:ascii="Times New Roman" w:eastAsia="宋体" w:hAnsi="Times New Roman" w:hint="eastAsia"/>
          <w:color w:val="auto"/>
        </w:rPr>
        <w:t>和建筑体量</w:t>
      </w:r>
      <w:r>
        <w:rPr>
          <w:rFonts w:ascii="Times New Roman" w:eastAsia="宋体" w:hAnsi="Times New Roman"/>
          <w:color w:val="auto"/>
        </w:rPr>
        <w:t>有利于提升小区整体环境品质，有利于住宅小区内阳光充足，通风良好，可提升空间的领域感，促进邻里交往和安全。</w:t>
      </w:r>
    </w:p>
    <w:p w14:paraId="4EB71F09" w14:textId="77777777" w:rsidR="00622EE7" w:rsidRDefault="00E60909">
      <w:pPr>
        <w:pStyle w:val="af5"/>
        <w:rPr>
          <w:rFonts w:ascii="Times New Roman" w:eastAsia="宋体" w:hAnsi="Times New Roman"/>
          <w:color w:val="auto"/>
        </w:rPr>
      </w:pPr>
      <w:r>
        <w:rPr>
          <w:rFonts w:ascii="Times New Roman" w:eastAsia="宋体" w:hAnsi="Times New Roman"/>
          <w:b/>
          <w:color w:val="auto"/>
        </w:rPr>
        <w:t>5.1.7</w:t>
      </w:r>
      <w:r>
        <w:rPr>
          <w:rFonts w:ascii="Times New Roman" w:eastAsia="宋体" w:hAnsi="Times New Roman"/>
          <w:color w:val="auto"/>
        </w:rPr>
        <w:t xml:space="preserve">  </w:t>
      </w:r>
      <w:r>
        <w:rPr>
          <w:rFonts w:ascii="Times New Roman" w:eastAsia="宋体" w:hAnsi="Times New Roman" w:hint="eastAsia"/>
          <w:color w:val="auto"/>
        </w:rPr>
        <w:t>按照类型对单元数量进行限制是避免产生建筑宽度过长产生的“一堵墙”现象，在具体小区</w:t>
      </w:r>
      <w:r>
        <w:rPr>
          <w:rFonts w:ascii="Times New Roman" w:eastAsia="宋体" w:hAnsi="Times New Roman" w:hint="eastAsia"/>
          <w:color w:val="auto"/>
        </w:rPr>
        <w:t>开发项目中如果由于地块形状、地形等方面的限制需要在局部增加单元数量时，应合</w:t>
      </w:r>
      <w:proofErr w:type="gramStart"/>
      <w:r>
        <w:rPr>
          <w:rFonts w:ascii="Times New Roman" w:eastAsia="宋体" w:hAnsi="Times New Roman" w:hint="eastAsia"/>
          <w:color w:val="auto"/>
        </w:rPr>
        <w:t>理说明</w:t>
      </w:r>
      <w:proofErr w:type="gramEnd"/>
      <w:r>
        <w:rPr>
          <w:rFonts w:ascii="Times New Roman" w:eastAsia="宋体" w:hAnsi="Times New Roman" w:hint="eastAsia"/>
          <w:color w:val="auto"/>
        </w:rPr>
        <w:t>原因。</w:t>
      </w:r>
    </w:p>
    <w:p w14:paraId="622E8E89" w14:textId="77777777" w:rsidR="00622EE7" w:rsidRDefault="00E60909">
      <w:pPr>
        <w:spacing w:beforeLines="50" w:before="156" w:afterLines="50" w:after="156" w:line="360" w:lineRule="auto"/>
        <w:jc w:val="center"/>
        <w:outlineLvl w:val="1"/>
        <w:rPr>
          <w:rFonts w:ascii="Times New Roman" w:eastAsia="黑体" w:hAnsi="Times New Roman"/>
        </w:rPr>
      </w:pPr>
      <w:bookmarkStart w:id="124" w:name="_Toc182841396"/>
      <w:bookmarkStart w:id="125" w:name="_Toc181092575"/>
      <w:r>
        <w:rPr>
          <w:rFonts w:ascii="Times New Roman" w:eastAsia="黑体" w:hAnsi="Times New Roman"/>
        </w:rPr>
        <w:t xml:space="preserve">5.2 </w:t>
      </w:r>
      <w:r>
        <w:rPr>
          <w:rFonts w:ascii="Times New Roman" w:eastAsia="黑体" w:hAnsi="Times New Roman" w:hint="eastAsia"/>
        </w:rPr>
        <w:t>道路与停车</w:t>
      </w:r>
      <w:bookmarkEnd w:id="124"/>
      <w:bookmarkEnd w:id="125"/>
    </w:p>
    <w:p w14:paraId="2F1EF7AF"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5.2.4  </w:t>
      </w:r>
      <w:r>
        <w:rPr>
          <w:rFonts w:ascii="Times New Roman" w:eastAsia="宋体" w:hAnsi="Times New Roman"/>
          <w:color w:val="auto"/>
        </w:rPr>
        <w:t>主入口是住宅小区景观序列的起点，应与道路之间预留缓冲空间。</w:t>
      </w:r>
    </w:p>
    <w:p w14:paraId="5210CD3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5.2.8 </w:t>
      </w:r>
      <w:r>
        <w:rPr>
          <w:rFonts w:ascii="Times New Roman" w:eastAsia="宋体" w:hAnsi="Times New Roman"/>
          <w:color w:val="auto"/>
        </w:rPr>
        <w:t xml:space="preserve"> </w:t>
      </w:r>
      <w:r>
        <w:rPr>
          <w:rFonts w:ascii="Times New Roman" w:eastAsia="宋体" w:hAnsi="Times New Roman"/>
          <w:color w:val="auto"/>
        </w:rPr>
        <w:t>有条件时宜采用夜光标识或保证照明</w:t>
      </w:r>
      <w:r>
        <w:rPr>
          <w:rFonts w:ascii="Times New Roman" w:eastAsia="宋体" w:hAnsi="Times New Roman" w:hint="eastAsia"/>
          <w:color w:val="auto"/>
        </w:rPr>
        <w:t>，</w:t>
      </w:r>
      <w:r>
        <w:rPr>
          <w:rFonts w:ascii="Times New Roman" w:eastAsia="宋体" w:hAnsi="Times New Roman"/>
          <w:color w:val="auto"/>
        </w:rPr>
        <w:t>便</w:t>
      </w:r>
      <w:r>
        <w:rPr>
          <w:rFonts w:ascii="Times New Roman" w:eastAsia="宋体" w:hAnsi="Times New Roman" w:hint="eastAsia"/>
          <w:color w:val="auto"/>
        </w:rPr>
        <w:t>于标识系统的</w:t>
      </w:r>
      <w:r>
        <w:rPr>
          <w:rFonts w:ascii="Times New Roman" w:eastAsia="宋体" w:hAnsi="Times New Roman"/>
          <w:color w:val="auto"/>
        </w:rPr>
        <w:t>识别。</w:t>
      </w:r>
    </w:p>
    <w:p w14:paraId="699D8C3F" w14:textId="77777777" w:rsidR="00622EE7" w:rsidRDefault="00E60909">
      <w:pPr>
        <w:spacing w:beforeLines="50" w:before="156" w:afterLines="50" w:after="156" w:line="360" w:lineRule="auto"/>
        <w:jc w:val="center"/>
        <w:outlineLvl w:val="1"/>
        <w:rPr>
          <w:rFonts w:ascii="Times New Roman" w:eastAsia="黑体" w:hAnsi="Times New Roman"/>
        </w:rPr>
      </w:pPr>
      <w:bookmarkStart w:id="126" w:name="_Toc181092576"/>
      <w:bookmarkStart w:id="127" w:name="_Toc182841397"/>
      <w:r>
        <w:rPr>
          <w:rFonts w:ascii="Times New Roman" w:eastAsia="黑体" w:hAnsi="Times New Roman"/>
        </w:rPr>
        <w:t>5.3</w:t>
      </w:r>
      <w:r>
        <w:rPr>
          <w:rFonts w:ascii="Times New Roman" w:eastAsia="黑体" w:hAnsi="Times New Roman" w:hint="eastAsia"/>
        </w:rPr>
        <w:t>景观</w:t>
      </w:r>
      <w:bookmarkEnd w:id="126"/>
      <w:bookmarkEnd w:id="127"/>
      <w:r>
        <w:rPr>
          <w:rFonts w:ascii="Times New Roman" w:eastAsia="黑体" w:hAnsi="Times New Roman" w:hint="eastAsia"/>
        </w:rPr>
        <w:t>和活动场地</w:t>
      </w:r>
    </w:p>
    <w:p w14:paraId="5C1A41D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 </w:t>
      </w:r>
      <w:r>
        <w:rPr>
          <w:rFonts w:ascii="Times New Roman" w:eastAsia="宋体" w:hAnsi="Times New Roman"/>
          <w:color w:val="auto"/>
        </w:rPr>
        <w:t xml:space="preserve"> </w:t>
      </w:r>
      <w:r>
        <w:rPr>
          <w:rFonts w:ascii="Times New Roman" w:eastAsia="宋体" w:hAnsi="Times New Roman"/>
          <w:color w:val="auto"/>
        </w:rPr>
        <w:t>按照《鄂尔多斯市海绵城市建设管理条例》的要求，新建、改建、扩建建设工程项目应配套海绵城市设施。常见的海绵城市设施包括渗透、转输、调蓄、集蓄利用、截污净化等，在小区中与绿化景观结合常采用雨水花园、下凹式绿地、植草沟等开发措施，</w:t>
      </w:r>
      <w:r>
        <w:rPr>
          <w:rFonts w:ascii="Times New Roman" w:eastAsia="宋体" w:hAnsi="Times New Roman"/>
          <w:color w:val="auto"/>
        </w:rPr>
        <w:t>同时结合屋面雨水排水，实现雨水蓄滞、补充地下水。另外，还可选用透水砖，当选用透水砖时，应满足现行国家标准《透水路面砖和透水路面板》</w:t>
      </w:r>
      <w:r>
        <w:rPr>
          <w:rFonts w:ascii="Times New Roman" w:eastAsia="宋体" w:hAnsi="Times New Roman"/>
          <w:color w:val="auto"/>
        </w:rPr>
        <w:t>GB/T 25993</w:t>
      </w:r>
      <w:r>
        <w:rPr>
          <w:rFonts w:ascii="Times New Roman" w:eastAsia="宋体" w:hAnsi="Times New Roman"/>
          <w:color w:val="auto"/>
        </w:rPr>
        <w:t>的规定，透水性能应</w:t>
      </w:r>
      <w:r>
        <w:rPr>
          <w:rFonts w:ascii="宋体" w:eastAsia="宋体" w:hAnsi="宋体" w:cs="宋体" w:hint="eastAsia"/>
          <w:color w:val="auto"/>
        </w:rPr>
        <w:t>≥</w:t>
      </w:r>
      <w:r>
        <w:rPr>
          <w:rFonts w:ascii="Times New Roman" w:eastAsia="宋体" w:hAnsi="Times New Roman"/>
          <w:color w:val="auto"/>
        </w:rPr>
        <w:t>0.2mm/s</w:t>
      </w:r>
      <w:r>
        <w:rPr>
          <w:rFonts w:ascii="Times New Roman" w:eastAsia="宋体" w:hAnsi="Times New Roman"/>
          <w:color w:val="auto"/>
        </w:rPr>
        <w:t>。</w:t>
      </w:r>
    </w:p>
    <w:p w14:paraId="765D106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5.3.5  </w:t>
      </w:r>
      <w:r>
        <w:rPr>
          <w:rFonts w:ascii="Times New Roman" w:eastAsia="宋体" w:hAnsi="Times New Roman"/>
          <w:color w:val="auto"/>
        </w:rPr>
        <w:t>地下停车库顶板涉及到覆土绿化，种植区域的覆土深度应满足乔、灌、</w:t>
      </w:r>
      <w:proofErr w:type="gramStart"/>
      <w:r>
        <w:rPr>
          <w:rFonts w:ascii="Times New Roman" w:eastAsia="宋体" w:hAnsi="Times New Roman"/>
          <w:color w:val="auto"/>
        </w:rPr>
        <w:t>草自然</w:t>
      </w:r>
      <w:proofErr w:type="gramEnd"/>
      <w:r>
        <w:rPr>
          <w:rFonts w:ascii="Times New Roman" w:eastAsia="宋体" w:hAnsi="Times New Roman"/>
          <w:color w:val="auto"/>
        </w:rPr>
        <w:t>生长的需要，一般来说，满足植物生长需求的覆土深度为</w:t>
      </w:r>
      <w:r>
        <w:rPr>
          <w:rFonts w:ascii="Times New Roman" w:eastAsia="宋体" w:hAnsi="Times New Roman"/>
          <w:color w:val="auto"/>
        </w:rPr>
        <w:t>:</w:t>
      </w:r>
      <w:r>
        <w:rPr>
          <w:rFonts w:ascii="Times New Roman" w:eastAsia="宋体" w:hAnsi="Times New Roman"/>
          <w:color w:val="auto"/>
        </w:rPr>
        <w:t>乔木大于</w:t>
      </w:r>
      <w:r>
        <w:rPr>
          <w:rFonts w:ascii="Times New Roman" w:eastAsia="宋体" w:hAnsi="Times New Roman"/>
          <w:color w:val="auto"/>
        </w:rPr>
        <w:t>1.2m</w:t>
      </w:r>
      <w:r>
        <w:rPr>
          <w:rFonts w:ascii="Times New Roman" w:eastAsia="宋体" w:hAnsi="Times New Roman"/>
          <w:color w:val="auto"/>
        </w:rPr>
        <w:t>，深根系乔木大于</w:t>
      </w:r>
      <w:r>
        <w:rPr>
          <w:rFonts w:ascii="Times New Roman" w:eastAsia="宋体" w:hAnsi="Times New Roman"/>
          <w:color w:val="auto"/>
        </w:rPr>
        <w:t>1.5m</w:t>
      </w:r>
      <w:r>
        <w:rPr>
          <w:rFonts w:ascii="Times New Roman" w:eastAsia="宋体" w:hAnsi="Times New Roman"/>
          <w:color w:val="auto"/>
        </w:rPr>
        <w:t>，灌木大于</w:t>
      </w:r>
      <w:r>
        <w:rPr>
          <w:rFonts w:ascii="Times New Roman" w:eastAsia="宋体" w:hAnsi="Times New Roman"/>
          <w:color w:val="auto"/>
        </w:rPr>
        <w:t>0.5m</w:t>
      </w:r>
      <w:r>
        <w:rPr>
          <w:rFonts w:ascii="Times New Roman" w:eastAsia="宋体" w:hAnsi="Times New Roman"/>
          <w:color w:val="auto"/>
        </w:rPr>
        <w:t>，草坪大于</w:t>
      </w:r>
      <w:r>
        <w:rPr>
          <w:rFonts w:ascii="Times New Roman" w:eastAsia="宋体" w:hAnsi="Times New Roman"/>
          <w:color w:val="auto"/>
        </w:rPr>
        <w:t>0.3m</w:t>
      </w:r>
      <w:r>
        <w:rPr>
          <w:rFonts w:ascii="Times New Roman" w:eastAsia="宋体" w:hAnsi="Times New Roman"/>
          <w:color w:val="auto"/>
        </w:rPr>
        <w:t>。</w:t>
      </w:r>
    </w:p>
    <w:p w14:paraId="6B4C035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5.3.9  </w:t>
      </w:r>
      <w:r>
        <w:rPr>
          <w:rFonts w:ascii="Times New Roman" w:eastAsia="宋体" w:hAnsi="Times New Roman"/>
          <w:color w:val="auto"/>
        </w:rPr>
        <w:t>本条参照了居民调研结果和实地调查的案例，对住宅小区与城市交接的界面提出了要求，合理规划街边绿地、</w:t>
      </w:r>
      <w:r>
        <w:rPr>
          <w:rFonts w:ascii="Times New Roman" w:eastAsia="宋体" w:hAnsi="Times New Roman"/>
          <w:color w:val="auto"/>
        </w:rPr>
        <w:t>口袋公园可作为小区和城市道路之间的有效缓冲，统一规划设计可以增强整体性。</w:t>
      </w:r>
    </w:p>
    <w:p w14:paraId="5E28B6B5"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 xml:space="preserve">5.3.11  </w:t>
      </w:r>
      <w:r>
        <w:rPr>
          <w:rFonts w:ascii="Times New Roman" w:eastAsia="宋体" w:hAnsi="Times New Roman"/>
          <w:color w:val="auto"/>
        </w:rPr>
        <w:t>绿化带的宽度应根据项目具体情况，建筑物的高度和可能的坠物范围来确定，一般建议宽度不小于</w:t>
      </w:r>
      <w:r>
        <w:rPr>
          <w:rFonts w:ascii="Times New Roman" w:eastAsia="宋体" w:hAnsi="Times New Roman"/>
          <w:color w:val="auto"/>
        </w:rPr>
        <w:t>3m</w:t>
      </w:r>
      <w:r>
        <w:rPr>
          <w:rFonts w:ascii="Times New Roman" w:eastAsia="宋体" w:hAnsi="Times New Roman"/>
          <w:color w:val="auto"/>
        </w:rPr>
        <w:t>，对于高层建筑</w:t>
      </w:r>
      <w:r>
        <w:rPr>
          <w:rFonts w:ascii="Times New Roman" w:eastAsia="宋体" w:hAnsi="Times New Roman" w:hint="eastAsia"/>
          <w:color w:val="auto"/>
        </w:rPr>
        <w:t>应进一步</w:t>
      </w:r>
      <w:r>
        <w:rPr>
          <w:rFonts w:ascii="Times New Roman" w:eastAsia="宋体" w:hAnsi="Times New Roman"/>
          <w:color w:val="auto"/>
        </w:rPr>
        <w:t>增加宽度。</w:t>
      </w:r>
    </w:p>
    <w:p w14:paraId="5AF62E1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5.3.12  </w:t>
      </w:r>
      <w:r>
        <w:rPr>
          <w:rFonts w:ascii="Times New Roman" w:eastAsia="宋体" w:hAnsi="Times New Roman"/>
          <w:color w:val="auto"/>
        </w:rPr>
        <w:t>室外吸烟</w:t>
      </w:r>
      <w:proofErr w:type="gramStart"/>
      <w:r>
        <w:rPr>
          <w:rFonts w:ascii="Times New Roman" w:eastAsia="宋体" w:hAnsi="Times New Roman"/>
          <w:color w:val="auto"/>
        </w:rPr>
        <w:t>区宜与绿植结合</w:t>
      </w:r>
      <w:proofErr w:type="gramEnd"/>
      <w:r>
        <w:rPr>
          <w:rFonts w:ascii="Times New Roman" w:eastAsia="宋体" w:hAnsi="Times New Roman"/>
          <w:color w:val="auto"/>
        </w:rPr>
        <w:t>布置，并合理配置座椅和带烟头收集的垃圾筒，吸烟区应设置吸烟有害健康的警示标识。</w:t>
      </w:r>
    </w:p>
    <w:p w14:paraId="31524D1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5.3.14  </w:t>
      </w:r>
      <w:r>
        <w:rPr>
          <w:rFonts w:ascii="Times New Roman" w:eastAsia="宋体" w:hAnsi="Times New Roman"/>
          <w:color w:val="auto"/>
        </w:rPr>
        <w:t>大面积小区水景的维护需要大量的水资源来维持其美观性和功能性，如果确实需要设置水景，建议采用节水型设计，比如使用循环水系统，确保水可以重复利用；考虑设置雨水收集系统，</w:t>
      </w:r>
      <w:r>
        <w:rPr>
          <w:rFonts w:ascii="Times New Roman" w:eastAsia="宋体" w:hAnsi="Times New Roman"/>
          <w:color w:val="auto"/>
        </w:rPr>
        <w:t>将收集到的雨水用于补充水景；还可以选择低水耗的水景类型，例如干河床景观或是小型水池配以节水植物。</w:t>
      </w:r>
    </w:p>
    <w:p w14:paraId="3D64626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5.3.15  </w:t>
      </w:r>
      <w:r>
        <w:rPr>
          <w:rFonts w:ascii="Times New Roman" w:eastAsia="宋体" w:hAnsi="Times New Roman"/>
          <w:color w:val="auto"/>
        </w:rPr>
        <w:t>室外活动场地应坚持以人为本的原则，选择方便安全、便于群众参与活动、对居民生活休息干扰小的地段。一般来说，距离住宅建筑外窗应不少于</w:t>
      </w:r>
      <w:r>
        <w:rPr>
          <w:rFonts w:ascii="Times New Roman" w:eastAsia="宋体" w:hAnsi="Times New Roman"/>
          <w:color w:val="auto"/>
        </w:rPr>
        <w:t>8m</w:t>
      </w:r>
      <w:r>
        <w:rPr>
          <w:rFonts w:ascii="Times New Roman" w:eastAsia="宋体" w:hAnsi="Times New Roman"/>
          <w:color w:val="auto"/>
        </w:rPr>
        <w:t>，并宜采取绿化隔离措施，以降低对住户的影响。同时，活动场地与绿化结合紧密不仅可美化环境，还能有遮阳效果，配合休息座椅等设施，可提高使用率。</w:t>
      </w:r>
    </w:p>
    <w:p w14:paraId="4F206E6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5.3.17  </w:t>
      </w:r>
      <w:r>
        <w:rPr>
          <w:rFonts w:ascii="Times New Roman" w:eastAsia="宋体" w:hAnsi="Times New Roman"/>
          <w:color w:val="auto"/>
        </w:rPr>
        <w:t>本条第</w:t>
      </w:r>
      <w:r>
        <w:rPr>
          <w:rFonts w:ascii="Times New Roman" w:eastAsia="宋体" w:hAnsi="Times New Roman"/>
          <w:color w:val="auto"/>
        </w:rPr>
        <w:t>1</w:t>
      </w:r>
      <w:r>
        <w:rPr>
          <w:rFonts w:ascii="Times New Roman" w:eastAsia="宋体" w:hAnsi="Times New Roman"/>
          <w:color w:val="auto"/>
        </w:rPr>
        <w:t>款，一定的连续长度可起到更好的健身效果，按照经验，健身步道一般可达到用地红线周长的</w:t>
      </w:r>
      <w:r>
        <w:rPr>
          <w:rFonts w:ascii="Times New Roman" w:eastAsia="宋体" w:hAnsi="Times New Roman"/>
          <w:color w:val="auto"/>
        </w:rPr>
        <w:t>1/4</w:t>
      </w:r>
      <w:r>
        <w:rPr>
          <w:rFonts w:ascii="Times New Roman" w:eastAsia="宋体" w:hAnsi="Times New Roman"/>
          <w:color w:val="auto"/>
        </w:rPr>
        <w:t>以及</w:t>
      </w:r>
      <w:r>
        <w:rPr>
          <w:rFonts w:ascii="Times New Roman" w:eastAsia="宋体" w:hAnsi="Times New Roman"/>
          <w:color w:val="auto"/>
        </w:rPr>
        <w:t>100m</w:t>
      </w:r>
      <w:r>
        <w:rPr>
          <w:rFonts w:ascii="Times New Roman" w:eastAsia="宋体" w:hAnsi="Times New Roman"/>
          <w:color w:val="auto"/>
        </w:rPr>
        <w:t>以上的要求；</w:t>
      </w:r>
    </w:p>
    <w:p w14:paraId="2A381C7E"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本条第</w:t>
      </w:r>
      <w:r>
        <w:rPr>
          <w:rFonts w:ascii="Times New Roman" w:eastAsia="宋体" w:hAnsi="Times New Roman"/>
          <w:color w:val="auto"/>
        </w:rPr>
        <w:t>2</w:t>
      </w:r>
      <w:r>
        <w:rPr>
          <w:rFonts w:ascii="Times New Roman" w:eastAsia="宋体" w:hAnsi="Times New Roman"/>
          <w:color w:val="auto"/>
        </w:rPr>
        <w:t>款，健身步道需采用弹性减振、防滑和环保的材料，应无毒无害、耐老化和抗紫外线。另外，健身步道不应</w:t>
      </w:r>
      <w:r>
        <w:rPr>
          <w:rFonts w:ascii="Times New Roman" w:eastAsia="宋体" w:hAnsi="Times New Roman"/>
          <w:color w:val="auto"/>
        </w:rPr>
        <w:t>紧邻城市主干道</w:t>
      </w:r>
      <w:r>
        <w:rPr>
          <w:rFonts w:ascii="Times New Roman" w:eastAsia="宋体" w:hAnsi="Times New Roman"/>
          <w:color w:val="auto"/>
        </w:rPr>
        <w:t>,</w:t>
      </w:r>
      <w:r>
        <w:rPr>
          <w:rFonts w:ascii="Times New Roman" w:eastAsia="宋体" w:hAnsi="Times New Roman"/>
          <w:color w:val="auto"/>
        </w:rPr>
        <w:t>并宜有建筑或绿化带与车道隔离</w:t>
      </w:r>
      <w:r>
        <w:rPr>
          <w:rFonts w:ascii="Times New Roman" w:eastAsia="宋体" w:hAnsi="Times New Roman"/>
          <w:color w:val="auto"/>
        </w:rPr>
        <w:t>,</w:t>
      </w:r>
      <w:r>
        <w:rPr>
          <w:rFonts w:ascii="Times New Roman" w:eastAsia="宋体" w:hAnsi="Times New Roman"/>
          <w:color w:val="auto"/>
        </w:rPr>
        <w:t>避免吸入汽车尾气。</w:t>
      </w:r>
    </w:p>
    <w:p w14:paraId="45A9D4A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5.3.18  </w:t>
      </w:r>
      <w:r>
        <w:rPr>
          <w:rFonts w:ascii="Times New Roman" w:eastAsia="宋体" w:hAnsi="Times New Roman"/>
          <w:color w:val="auto"/>
        </w:rPr>
        <w:t>室外健身场地中提供的健身设施应有足够数量</w:t>
      </w:r>
      <w:r>
        <w:rPr>
          <w:rFonts w:ascii="Times New Roman" w:eastAsia="宋体" w:hAnsi="Times New Roman"/>
          <w:color w:val="auto"/>
        </w:rPr>
        <w:t>,</w:t>
      </w:r>
      <w:r>
        <w:rPr>
          <w:rFonts w:ascii="Times New Roman" w:eastAsia="宋体" w:hAnsi="Times New Roman"/>
          <w:color w:val="auto"/>
        </w:rPr>
        <w:t>并有不同的种类给不同需求的人群提供不同的选择。健身设施应有相关的产品质量与安全认证标志</w:t>
      </w:r>
      <w:r>
        <w:rPr>
          <w:rFonts w:ascii="Times New Roman" w:eastAsia="宋体" w:hAnsi="Times New Roman"/>
          <w:color w:val="auto"/>
        </w:rPr>
        <w:t>,</w:t>
      </w:r>
      <w:r>
        <w:rPr>
          <w:rFonts w:ascii="Times New Roman" w:eastAsia="宋体" w:hAnsi="Times New Roman"/>
          <w:color w:val="auto"/>
        </w:rPr>
        <w:t>并有使用说明书</w:t>
      </w:r>
      <w:r>
        <w:rPr>
          <w:rFonts w:ascii="Times New Roman" w:eastAsia="宋体" w:hAnsi="Times New Roman"/>
          <w:color w:val="auto"/>
        </w:rPr>
        <w:t>,</w:t>
      </w:r>
      <w:r>
        <w:rPr>
          <w:rFonts w:ascii="Times New Roman" w:eastAsia="宋体" w:hAnsi="Times New Roman"/>
          <w:color w:val="auto"/>
        </w:rPr>
        <w:t>有明显的标识</w:t>
      </w:r>
      <w:proofErr w:type="gramStart"/>
      <w:r>
        <w:rPr>
          <w:rFonts w:ascii="Times New Roman" w:eastAsia="宋体" w:hAnsi="Times New Roman"/>
          <w:color w:val="auto"/>
        </w:rPr>
        <w:t>牌指导</w:t>
      </w:r>
      <w:proofErr w:type="gramEnd"/>
      <w:r>
        <w:rPr>
          <w:rFonts w:ascii="Times New Roman" w:eastAsia="宋体" w:hAnsi="Times New Roman"/>
          <w:color w:val="auto"/>
        </w:rPr>
        <w:t>,</w:t>
      </w:r>
      <w:r>
        <w:rPr>
          <w:rFonts w:ascii="Times New Roman" w:eastAsia="宋体" w:hAnsi="Times New Roman"/>
          <w:color w:val="auto"/>
        </w:rPr>
        <w:t>应定期维护保养确保运行状态良好。</w:t>
      </w:r>
    </w:p>
    <w:p w14:paraId="1F50046E" w14:textId="77777777" w:rsidR="00622EE7" w:rsidRDefault="00E60909">
      <w:pPr>
        <w:pStyle w:val="af5"/>
        <w:rPr>
          <w:rFonts w:ascii="Times New Roman" w:eastAsia="宋体" w:hAnsi="Times New Roman"/>
          <w:b/>
          <w:color w:val="auto"/>
        </w:rPr>
      </w:pPr>
      <w:r>
        <w:rPr>
          <w:rFonts w:ascii="Times New Roman" w:eastAsia="宋体" w:hAnsi="Times New Roman"/>
          <w:b/>
          <w:color w:val="auto"/>
        </w:rPr>
        <w:t xml:space="preserve">5.3.22  </w:t>
      </w:r>
      <w:r>
        <w:rPr>
          <w:rFonts w:ascii="Times New Roman" w:eastAsia="宋体" w:hAnsi="Times New Roman" w:hint="eastAsia"/>
          <w:color w:val="auto"/>
        </w:rPr>
        <w:t>在不影响功能，安全及警示的前提下可将水泵房、公厕，居民存车处等功能设置于地下。</w:t>
      </w:r>
      <w:r>
        <w:rPr>
          <w:rFonts w:ascii="Times New Roman" w:eastAsia="宋体" w:hAnsi="Times New Roman" w:hint="eastAsia"/>
          <w:color w:val="auto"/>
        </w:rPr>
        <w:t>围挡或美化设施需要考虑小区风格，选用和谐美观的材质和颜色。</w:t>
      </w:r>
    </w:p>
    <w:p w14:paraId="5BC6A9C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5.3.26  </w:t>
      </w:r>
      <w:r>
        <w:rPr>
          <w:rFonts w:ascii="Times New Roman" w:eastAsia="宋体" w:hAnsi="Times New Roman"/>
          <w:color w:val="auto"/>
        </w:rPr>
        <w:t>如采用垃圾分类一体化箱房、在地下室合适位置设置垃圾收集点等设施，解决冬季冰冻垃圾不易收集的难点问题。</w:t>
      </w:r>
    </w:p>
    <w:p w14:paraId="6F6D265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5.3.27 </w:t>
      </w:r>
      <w:r>
        <w:rPr>
          <w:rFonts w:ascii="Times New Roman" w:eastAsia="宋体" w:hAnsi="Times New Roman"/>
          <w:color w:val="auto"/>
        </w:rPr>
        <w:t xml:space="preserve"> </w:t>
      </w:r>
      <w:r>
        <w:rPr>
          <w:rFonts w:ascii="Times New Roman" w:eastAsia="宋体" w:hAnsi="Times New Roman"/>
          <w:color w:val="auto"/>
        </w:rPr>
        <w:t>根据</w:t>
      </w:r>
      <w:proofErr w:type="gramStart"/>
      <w:r>
        <w:rPr>
          <w:rFonts w:ascii="Times New Roman" w:eastAsia="宋体" w:hAnsi="Times New Roman"/>
          <w:color w:val="auto"/>
        </w:rPr>
        <w:t>现行行业</w:t>
      </w:r>
      <w:proofErr w:type="gramEnd"/>
      <w:r>
        <w:rPr>
          <w:rFonts w:ascii="Times New Roman" w:eastAsia="宋体" w:hAnsi="Times New Roman"/>
          <w:color w:val="auto"/>
        </w:rPr>
        <w:t>标准《生活垃圾收集站技术规程》</w:t>
      </w:r>
      <w:r>
        <w:rPr>
          <w:rFonts w:ascii="Times New Roman" w:eastAsia="宋体" w:hAnsi="Times New Roman"/>
          <w:color w:val="auto"/>
        </w:rPr>
        <w:t>CJJ 179-2012</w:t>
      </w:r>
      <w:r>
        <w:rPr>
          <w:rFonts w:ascii="Times New Roman" w:eastAsia="宋体" w:hAnsi="Times New Roman"/>
          <w:color w:val="auto"/>
        </w:rPr>
        <w:t>的规定，大于</w:t>
      </w:r>
      <w:r>
        <w:rPr>
          <w:rFonts w:ascii="Times New Roman" w:eastAsia="宋体" w:hAnsi="Times New Roman"/>
          <w:color w:val="auto"/>
        </w:rPr>
        <w:t>5000</w:t>
      </w:r>
      <w:r>
        <w:rPr>
          <w:rFonts w:ascii="Times New Roman" w:eastAsia="宋体" w:hAnsi="Times New Roman"/>
          <w:color w:val="auto"/>
        </w:rPr>
        <w:t>人的居住区宜单独设置收集站；小于</w:t>
      </w:r>
      <w:r>
        <w:rPr>
          <w:rFonts w:ascii="Times New Roman" w:eastAsia="宋体" w:hAnsi="Times New Roman"/>
          <w:color w:val="auto"/>
        </w:rPr>
        <w:t>5000</w:t>
      </w:r>
      <w:r>
        <w:rPr>
          <w:rFonts w:ascii="Times New Roman" w:eastAsia="宋体" w:hAnsi="Times New Roman"/>
          <w:color w:val="auto"/>
        </w:rPr>
        <w:t>人的居住区可与相邻区域提前规划，联合设置收集站。</w:t>
      </w:r>
    </w:p>
    <w:p w14:paraId="4965B884" w14:textId="77777777" w:rsidR="00622EE7" w:rsidRDefault="00E60909">
      <w:pPr>
        <w:spacing w:beforeLines="50" w:before="156" w:afterLines="50" w:after="156" w:line="360" w:lineRule="auto"/>
        <w:jc w:val="center"/>
        <w:outlineLvl w:val="1"/>
        <w:rPr>
          <w:rFonts w:ascii="Times New Roman" w:eastAsia="黑体" w:hAnsi="Times New Roman"/>
        </w:rPr>
      </w:pPr>
      <w:bookmarkStart w:id="128" w:name="_Toc182841398"/>
      <w:bookmarkStart w:id="129" w:name="_Toc181092577"/>
      <w:r>
        <w:rPr>
          <w:rFonts w:ascii="Times New Roman" w:eastAsia="黑体" w:hAnsi="Times New Roman"/>
        </w:rPr>
        <w:t xml:space="preserve">5.4 </w:t>
      </w:r>
      <w:r>
        <w:rPr>
          <w:rFonts w:ascii="Times New Roman" w:eastAsia="黑体" w:hAnsi="Times New Roman" w:hint="eastAsia"/>
        </w:rPr>
        <w:t>小区配套</w:t>
      </w:r>
      <w:bookmarkEnd w:id="128"/>
      <w:bookmarkEnd w:id="129"/>
    </w:p>
    <w:p w14:paraId="5E648E2C"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5.4.</w:t>
      </w:r>
      <w:r>
        <w:rPr>
          <w:rFonts w:ascii="Times New Roman" w:eastAsia="宋体" w:hAnsi="Times New Roman" w:hint="eastAsia"/>
          <w:b/>
          <w:color w:val="auto"/>
        </w:rPr>
        <w:t>1</w:t>
      </w:r>
      <w:r>
        <w:rPr>
          <w:rFonts w:ascii="Times New Roman" w:eastAsia="宋体" w:hAnsi="Times New Roman"/>
          <w:b/>
          <w:color w:val="auto"/>
        </w:rPr>
        <w:t xml:space="preserve">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规划》明确提出：新建住宅项目要按照完整居住社区建设标准，同步配建配齐基本公共服务、便民商业服务等设施。</w:t>
      </w:r>
    </w:p>
    <w:p w14:paraId="52AF0F3E"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完整居住社区建设目标为基本公共服务设施</w:t>
      </w:r>
      <w:r>
        <w:rPr>
          <w:rFonts w:ascii="Times New Roman" w:eastAsia="宋体" w:hAnsi="Times New Roman"/>
          <w:color w:val="auto"/>
        </w:rPr>
        <w:t>完善、便民商业服务设施健全、市政配套基础设施完备、公共活动空间充足、物业管理全覆盖，以及社区管理机制健全</w:t>
      </w:r>
      <w:r>
        <w:rPr>
          <w:rFonts w:ascii="Times New Roman" w:eastAsia="宋体" w:hAnsi="Times New Roman" w:hint="eastAsia"/>
          <w:color w:val="auto"/>
        </w:rPr>
        <w:t>（图</w:t>
      </w:r>
      <w:r>
        <w:rPr>
          <w:rFonts w:ascii="Times New Roman" w:eastAsia="宋体" w:hAnsi="Times New Roman" w:hint="eastAsia"/>
          <w:color w:val="auto"/>
        </w:rPr>
        <w:t>3</w:t>
      </w:r>
      <w:r>
        <w:rPr>
          <w:rFonts w:ascii="Times New Roman" w:eastAsia="宋体" w:hAnsi="Times New Roman" w:hint="eastAsia"/>
          <w:color w:val="auto"/>
        </w:rPr>
        <w:t>）</w:t>
      </w:r>
      <w:r>
        <w:rPr>
          <w:rFonts w:ascii="Times New Roman" w:eastAsia="宋体" w:hAnsi="Times New Roman"/>
          <w:color w:val="auto"/>
        </w:rPr>
        <w:t>。小区是社区的组成部分，伴随着住宅小区的建设也是一次针对性补充、完善周边配套服务设施的机会，因此需要在规划建设之初进行统筹。</w:t>
      </w:r>
    </w:p>
    <w:p w14:paraId="20E88E86" w14:textId="77777777" w:rsidR="00622EE7" w:rsidRDefault="00E60909">
      <w:pPr>
        <w:pStyle w:val="af5"/>
        <w:jc w:val="center"/>
        <w:rPr>
          <w:rFonts w:ascii="Times New Roman" w:hAnsi="Times New Roman"/>
          <w:color w:val="auto"/>
        </w:rPr>
      </w:pPr>
      <w:r>
        <w:rPr>
          <w:noProof/>
          <w:color w:val="auto"/>
        </w:rPr>
        <w:drawing>
          <wp:inline distT="0" distB="0" distL="0" distR="0" wp14:anchorId="7DC2CA96" wp14:editId="34E2E65C">
            <wp:extent cx="3202940" cy="1748155"/>
            <wp:effectExtent l="0" t="0" r="0"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0"/>
                    <a:stretch>
                      <a:fillRect/>
                    </a:stretch>
                  </pic:blipFill>
                  <pic:spPr>
                    <a:xfrm>
                      <a:off x="0" y="0"/>
                      <a:ext cx="3210325" cy="1752422"/>
                    </a:xfrm>
                    <a:prstGeom prst="rect">
                      <a:avLst/>
                    </a:prstGeom>
                  </pic:spPr>
                </pic:pic>
              </a:graphicData>
            </a:graphic>
          </wp:inline>
        </w:drawing>
      </w:r>
    </w:p>
    <w:p w14:paraId="14B06BB8" w14:textId="77777777" w:rsidR="00622EE7" w:rsidRDefault="00E60909">
      <w:pPr>
        <w:pStyle w:val="af5"/>
        <w:jc w:val="center"/>
        <w:rPr>
          <w:rFonts w:ascii="宋体" w:eastAsia="宋体" w:hAnsi="宋体"/>
          <w:b/>
          <w:color w:val="auto"/>
          <w:sz w:val="21"/>
        </w:rPr>
      </w:pPr>
      <w:r>
        <w:rPr>
          <w:rFonts w:ascii="宋体" w:eastAsia="宋体" w:hAnsi="宋体" w:hint="eastAsia"/>
          <w:b/>
          <w:color w:val="auto"/>
          <w:sz w:val="21"/>
        </w:rPr>
        <w:t>图</w:t>
      </w:r>
      <w:r>
        <w:rPr>
          <w:rFonts w:ascii="宋体" w:eastAsia="宋体" w:hAnsi="宋体"/>
          <w:b/>
          <w:color w:val="auto"/>
          <w:sz w:val="21"/>
        </w:rPr>
        <w:t xml:space="preserve">3 </w:t>
      </w:r>
      <w:r>
        <w:rPr>
          <w:rFonts w:ascii="宋体" w:eastAsia="宋体" w:hAnsi="宋体" w:hint="eastAsia"/>
          <w:b/>
          <w:color w:val="auto"/>
          <w:sz w:val="21"/>
        </w:rPr>
        <w:t>完整居住社区配套设施示意图</w:t>
      </w:r>
    </w:p>
    <w:p w14:paraId="4F213ECB" w14:textId="77777777" w:rsidR="00622EE7" w:rsidRDefault="00E60909">
      <w:pPr>
        <w:pStyle w:val="af5"/>
        <w:jc w:val="center"/>
        <w:rPr>
          <w:rFonts w:ascii="宋体" w:eastAsia="宋体" w:hAnsi="宋体"/>
          <w:color w:val="auto"/>
          <w:sz w:val="21"/>
        </w:rPr>
      </w:pPr>
      <w:r>
        <w:rPr>
          <w:rFonts w:ascii="宋体" w:eastAsia="宋体" w:hAnsi="宋体" w:hint="eastAsia"/>
          <w:color w:val="auto"/>
          <w:sz w:val="21"/>
        </w:rPr>
        <w:t>图片来源：《完整居住社区建设指南》</w:t>
      </w:r>
    </w:p>
    <w:p w14:paraId="4972E07D" w14:textId="77777777" w:rsidR="00622EE7" w:rsidRDefault="00E60909">
      <w:pPr>
        <w:pStyle w:val="af5"/>
        <w:rPr>
          <w:rFonts w:ascii="Times New Roman" w:eastAsia="宋体" w:hAnsi="Times New Roman"/>
          <w:color w:val="auto"/>
        </w:rPr>
      </w:pPr>
      <w:r>
        <w:rPr>
          <w:rFonts w:ascii="Times New Roman" w:eastAsia="宋体" w:hAnsi="Times New Roman"/>
          <w:b/>
          <w:color w:val="auto"/>
        </w:rPr>
        <w:t>5.4.</w:t>
      </w:r>
      <w:r>
        <w:rPr>
          <w:rFonts w:ascii="Times New Roman" w:eastAsia="宋体" w:hAnsi="Times New Roman" w:hint="eastAsia"/>
          <w:b/>
          <w:color w:val="auto"/>
        </w:rPr>
        <w:t>2</w:t>
      </w:r>
      <w:r>
        <w:rPr>
          <w:rFonts w:ascii="Times New Roman" w:eastAsia="宋体" w:hAnsi="Times New Roman"/>
          <w:b/>
          <w:color w:val="auto"/>
        </w:rPr>
        <w:t xml:space="preserve">  </w:t>
      </w:r>
      <w:r>
        <w:rPr>
          <w:rFonts w:ascii="Times New Roman" w:eastAsia="宋体" w:hAnsi="Times New Roman"/>
          <w:color w:val="auto"/>
        </w:rPr>
        <w:t>公共交通需协调市政资源实现，暂不明确时，建议配置接驳车辆。</w:t>
      </w:r>
    </w:p>
    <w:p w14:paraId="571B0715" w14:textId="77777777" w:rsidR="00622EE7" w:rsidRDefault="00E60909">
      <w:pPr>
        <w:pStyle w:val="af5"/>
        <w:rPr>
          <w:rFonts w:ascii="Times New Roman" w:eastAsia="宋体" w:hAnsi="Times New Roman"/>
          <w:color w:val="auto"/>
        </w:rPr>
      </w:pPr>
      <w:r>
        <w:rPr>
          <w:rFonts w:ascii="Times New Roman" w:eastAsia="宋体" w:hAnsi="Times New Roman"/>
          <w:b/>
          <w:color w:val="auto"/>
        </w:rPr>
        <w:t>5.4.</w:t>
      </w:r>
      <w:r>
        <w:rPr>
          <w:rFonts w:ascii="Times New Roman" w:eastAsia="宋体" w:hAnsi="Times New Roman" w:hint="eastAsia"/>
          <w:b/>
          <w:color w:val="auto"/>
        </w:rPr>
        <w:t>5</w:t>
      </w:r>
      <w:r>
        <w:rPr>
          <w:rFonts w:ascii="Times New Roman" w:eastAsia="宋体" w:hAnsi="Times New Roman"/>
          <w:b/>
          <w:color w:val="auto"/>
        </w:rPr>
        <w:t xml:space="preserve">  </w:t>
      </w:r>
      <w:r>
        <w:rPr>
          <w:rFonts w:ascii="Times New Roman" w:eastAsia="宋体" w:hAnsi="Times New Roman"/>
          <w:color w:val="auto"/>
        </w:rPr>
        <w:t>考虑到资源优化配置的要求，</w:t>
      </w:r>
      <w:proofErr w:type="gramStart"/>
      <w:r>
        <w:rPr>
          <w:rFonts w:ascii="Times New Roman" w:eastAsia="宋体" w:hAnsi="Times New Roman"/>
          <w:color w:val="auto"/>
        </w:rPr>
        <w:t>宜建设</w:t>
      </w:r>
      <w:proofErr w:type="gramEnd"/>
      <w:r>
        <w:rPr>
          <w:rFonts w:ascii="Times New Roman" w:eastAsia="宋体" w:hAnsi="Times New Roman"/>
          <w:color w:val="auto"/>
        </w:rPr>
        <w:t>功能复合、服务高效的社区综合服务站，综合提供社区老、卫生、助残、文化娱乐、物业管理等多元化服务。社区综合服务站与其</w:t>
      </w:r>
      <w:proofErr w:type="gramStart"/>
      <w:r>
        <w:rPr>
          <w:rFonts w:ascii="Times New Roman" w:eastAsia="宋体" w:hAnsi="Times New Roman"/>
          <w:color w:val="auto"/>
        </w:rPr>
        <w:t>他建筑</w:t>
      </w:r>
      <w:proofErr w:type="gramEnd"/>
      <w:r>
        <w:rPr>
          <w:rFonts w:ascii="Times New Roman" w:eastAsia="宋体" w:hAnsi="Times New Roman"/>
          <w:color w:val="auto"/>
        </w:rPr>
        <w:t>合建时，</w:t>
      </w:r>
      <w:proofErr w:type="gramStart"/>
      <w:r>
        <w:rPr>
          <w:rFonts w:ascii="Times New Roman" w:eastAsia="宋体" w:hAnsi="Times New Roman"/>
          <w:color w:val="auto"/>
        </w:rPr>
        <w:t>宜设置</w:t>
      </w:r>
      <w:proofErr w:type="gramEnd"/>
      <w:r>
        <w:rPr>
          <w:rFonts w:ascii="Times New Roman" w:eastAsia="宋体" w:hAnsi="Times New Roman"/>
          <w:color w:val="auto"/>
        </w:rPr>
        <w:t>在建筑物低层部分，并有独立出入口。</w:t>
      </w:r>
    </w:p>
    <w:p w14:paraId="42EB8B2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5.4.6 </w:t>
      </w:r>
      <w:r>
        <w:rPr>
          <w:rFonts w:ascii="Times New Roman" w:eastAsia="宋体" w:hAnsi="Times New Roman" w:hint="eastAsia"/>
          <w:color w:val="auto"/>
        </w:rPr>
        <w:t>鼓励利用地下空间设置游泳馆、健身房。</w:t>
      </w:r>
    </w:p>
    <w:p w14:paraId="6145CE1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5.4.7 </w:t>
      </w:r>
      <w:r>
        <w:rPr>
          <w:rFonts w:ascii="Times New Roman" w:eastAsia="宋体" w:hAnsi="Times New Roman"/>
          <w:color w:val="auto"/>
        </w:rPr>
        <w:t xml:space="preserve"> </w:t>
      </w:r>
      <w:r>
        <w:rPr>
          <w:rFonts w:ascii="Times New Roman" w:eastAsia="宋体" w:hAnsi="Times New Roman"/>
          <w:color w:val="auto"/>
        </w:rPr>
        <w:t>规划方案阶段应合理布置商业排油烟井道，在满足环保等相关要求的情况下，排油烟竖井布置结合建筑外立面造型设计，并设置结构加固安全措施，避免贴邻住宅卧室、起居室（厅）及强弱电井。屋顶排油烟风机优先考虑设置在楼梯间或电梯机房屋顶，并设置消声隔振措施满足相</w:t>
      </w:r>
      <w:r>
        <w:rPr>
          <w:rFonts w:ascii="Times New Roman" w:eastAsia="宋体" w:hAnsi="Times New Roman"/>
          <w:color w:val="auto"/>
        </w:rPr>
        <w:t>关规范要求。</w:t>
      </w:r>
    </w:p>
    <w:p w14:paraId="4E00961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5.4.9 ~5.4.10  </w:t>
      </w:r>
      <w:r>
        <w:rPr>
          <w:rFonts w:ascii="Times New Roman" w:eastAsia="宋体" w:hAnsi="Times New Roman" w:hint="eastAsia"/>
          <w:color w:val="auto"/>
        </w:rPr>
        <w:t>有条件时，鼓励充分利用地下空间。</w:t>
      </w:r>
    </w:p>
    <w:p w14:paraId="078B81C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5.4.16  </w:t>
      </w:r>
      <w:r>
        <w:rPr>
          <w:rFonts w:ascii="Times New Roman" w:eastAsia="宋体" w:hAnsi="Times New Roman"/>
          <w:color w:val="auto"/>
        </w:rPr>
        <w:t>救助呼叫装置的按钮高度宜为</w:t>
      </w:r>
      <w:r>
        <w:rPr>
          <w:rFonts w:ascii="Times New Roman" w:eastAsia="宋体" w:hAnsi="Times New Roman"/>
          <w:color w:val="auto"/>
        </w:rPr>
        <w:t>400mm</w:t>
      </w:r>
      <w:r>
        <w:rPr>
          <w:rFonts w:ascii="Times New Roman" w:eastAsia="宋体" w:hAnsi="Times New Roman"/>
          <w:color w:val="auto"/>
        </w:rPr>
        <w:t>～</w:t>
      </w:r>
      <w:r>
        <w:rPr>
          <w:rFonts w:ascii="Times New Roman" w:eastAsia="宋体" w:hAnsi="Times New Roman"/>
          <w:color w:val="auto"/>
        </w:rPr>
        <w:t>500mm</w:t>
      </w:r>
      <w:r>
        <w:rPr>
          <w:rFonts w:ascii="Times New Roman" w:eastAsia="宋体" w:hAnsi="Times New Roman"/>
          <w:color w:val="auto"/>
        </w:rPr>
        <w:t>，拉绳下端至地面宜为</w:t>
      </w:r>
      <w:r>
        <w:rPr>
          <w:rFonts w:ascii="Times New Roman" w:eastAsia="宋体" w:hAnsi="Times New Roman"/>
          <w:color w:val="auto"/>
        </w:rPr>
        <w:t>100mm</w:t>
      </w:r>
      <w:r>
        <w:rPr>
          <w:rFonts w:ascii="Times New Roman" w:eastAsia="宋体" w:hAnsi="Times New Roman"/>
          <w:color w:val="auto"/>
        </w:rPr>
        <w:t>。</w:t>
      </w:r>
    </w:p>
    <w:p w14:paraId="0DFE34FE" w14:textId="77777777" w:rsidR="00622EE7" w:rsidRDefault="00E60909">
      <w:pPr>
        <w:pStyle w:val="1"/>
      </w:pPr>
      <w:bookmarkStart w:id="130" w:name="_Toc181092578"/>
      <w:bookmarkStart w:id="131" w:name="_Toc182841399"/>
      <w:r>
        <w:lastRenderedPageBreak/>
        <w:t xml:space="preserve">6 </w:t>
      </w:r>
      <w:r>
        <w:rPr>
          <w:rFonts w:hint="eastAsia"/>
        </w:rPr>
        <w:t xml:space="preserve"> </w:t>
      </w:r>
      <w:r>
        <w:rPr>
          <w:rFonts w:hint="eastAsia"/>
        </w:rPr>
        <w:t>建筑设计</w:t>
      </w:r>
      <w:bookmarkEnd w:id="130"/>
      <w:bookmarkEnd w:id="131"/>
    </w:p>
    <w:p w14:paraId="6C43A041" w14:textId="77777777" w:rsidR="00622EE7" w:rsidRDefault="00E60909">
      <w:pPr>
        <w:spacing w:beforeLines="50" w:before="156" w:afterLines="50" w:after="156" w:line="360" w:lineRule="auto"/>
        <w:jc w:val="center"/>
        <w:outlineLvl w:val="1"/>
        <w:rPr>
          <w:rFonts w:ascii="Times New Roman" w:eastAsia="黑体" w:hAnsi="Times New Roman"/>
        </w:rPr>
      </w:pPr>
      <w:bookmarkStart w:id="132" w:name="_Toc181092579"/>
      <w:bookmarkStart w:id="133" w:name="_Toc182841400"/>
      <w:r>
        <w:rPr>
          <w:rFonts w:ascii="Times New Roman" w:eastAsia="黑体" w:hAnsi="Times New Roman"/>
        </w:rPr>
        <w:t xml:space="preserve">6.1 </w:t>
      </w:r>
      <w:r>
        <w:rPr>
          <w:rFonts w:ascii="Times New Roman" w:eastAsia="黑体" w:hAnsi="Times New Roman" w:hint="eastAsia"/>
        </w:rPr>
        <w:t>建筑外观</w:t>
      </w:r>
      <w:bookmarkEnd w:id="132"/>
      <w:bookmarkEnd w:id="133"/>
    </w:p>
    <w:p w14:paraId="7967CF5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6.1.1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w:t>
      </w:r>
      <w:r>
        <w:rPr>
          <w:rFonts w:ascii="Times New Roman" w:eastAsia="宋体" w:hAnsi="Times New Roman"/>
          <w:color w:val="auto"/>
        </w:rPr>
        <w:t>“</w:t>
      </w:r>
      <w:r>
        <w:rPr>
          <w:rFonts w:ascii="Times New Roman" w:eastAsia="宋体" w:hAnsi="Times New Roman"/>
          <w:color w:val="auto"/>
        </w:rPr>
        <w:t>加强建筑风貌管控</w:t>
      </w:r>
      <w:r>
        <w:rPr>
          <w:rFonts w:ascii="Times New Roman" w:eastAsia="宋体" w:hAnsi="Times New Roman"/>
          <w:color w:val="auto"/>
        </w:rPr>
        <w:t>”</w:t>
      </w:r>
      <w:r>
        <w:rPr>
          <w:rFonts w:ascii="Times New Roman" w:eastAsia="宋体" w:hAnsi="Times New Roman"/>
          <w:color w:val="auto"/>
        </w:rPr>
        <w:t>。住宅建筑作为城市中数量最多的建筑类型，塑造着城市的底色，因此，住宅建筑</w:t>
      </w:r>
      <w:proofErr w:type="gramStart"/>
      <w:r>
        <w:rPr>
          <w:rFonts w:ascii="Times New Roman" w:eastAsia="宋体" w:hAnsi="Times New Roman"/>
          <w:color w:val="auto"/>
        </w:rPr>
        <w:t>应比例</w:t>
      </w:r>
      <w:proofErr w:type="gramEnd"/>
      <w:r>
        <w:rPr>
          <w:rFonts w:ascii="Times New Roman" w:eastAsia="宋体" w:hAnsi="Times New Roman"/>
          <w:color w:val="auto"/>
        </w:rPr>
        <w:t>和谐、色彩协调、美观大方，与街区环境相协调，融入城市整体风貌。</w:t>
      </w:r>
    </w:p>
    <w:p w14:paraId="1E8AA5B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6.1.5 </w:t>
      </w:r>
      <w:r>
        <w:rPr>
          <w:rFonts w:ascii="Times New Roman" w:eastAsia="宋体" w:hAnsi="Times New Roman"/>
          <w:color w:val="auto"/>
        </w:rPr>
        <w:t xml:space="preserve"> </w:t>
      </w:r>
      <w:r>
        <w:rPr>
          <w:rFonts w:ascii="Times New Roman" w:eastAsia="宋体" w:hAnsi="Times New Roman"/>
          <w:color w:val="auto"/>
        </w:rPr>
        <w:t>根据居民调查结果接受度较高的几种类型有石材、陶板、金属板等，无论采用哪种材料都应确保其施工质量，避免出现后期掉落风险。</w:t>
      </w:r>
    </w:p>
    <w:p w14:paraId="4803EDE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6.1.6 </w:t>
      </w:r>
      <w:r>
        <w:rPr>
          <w:rFonts w:ascii="Times New Roman" w:eastAsia="宋体" w:hAnsi="Times New Roman"/>
          <w:color w:val="auto"/>
        </w:rPr>
        <w:t xml:space="preserve"> </w:t>
      </w:r>
      <w:r>
        <w:rPr>
          <w:rFonts w:ascii="Times New Roman" w:eastAsia="宋体" w:hAnsi="Times New Roman"/>
          <w:color w:val="auto"/>
        </w:rPr>
        <w:t>屋顶是城市天际线的重要组成部分。合理、美观的屋顶设计不仅能提升建筑的整体美观度，还能增强其实用性和功能性。屋顶设计应结合绿化、设备、光</w:t>
      </w:r>
      <w:proofErr w:type="gramStart"/>
      <w:r>
        <w:rPr>
          <w:rFonts w:ascii="Times New Roman" w:eastAsia="宋体" w:hAnsi="Times New Roman"/>
          <w:color w:val="auto"/>
        </w:rPr>
        <w:t>伏设施</w:t>
      </w:r>
      <w:proofErr w:type="gramEnd"/>
      <w:r>
        <w:rPr>
          <w:rFonts w:ascii="Times New Roman" w:eastAsia="宋体" w:hAnsi="Times New Roman"/>
          <w:color w:val="auto"/>
        </w:rPr>
        <w:t>等综</w:t>
      </w:r>
      <w:r>
        <w:rPr>
          <w:rFonts w:ascii="Times New Roman" w:eastAsia="宋体" w:hAnsi="Times New Roman"/>
          <w:color w:val="auto"/>
        </w:rPr>
        <w:t>合布置，并考虑维护检修的需求。</w:t>
      </w:r>
    </w:p>
    <w:p w14:paraId="59CA1533" w14:textId="77777777" w:rsidR="00622EE7" w:rsidRDefault="00E60909">
      <w:pPr>
        <w:spacing w:beforeLines="50" w:before="156" w:afterLines="50" w:after="156" w:line="360" w:lineRule="auto"/>
        <w:jc w:val="center"/>
        <w:outlineLvl w:val="1"/>
        <w:rPr>
          <w:rFonts w:ascii="Times New Roman" w:eastAsia="黑体" w:hAnsi="Times New Roman"/>
        </w:rPr>
      </w:pPr>
      <w:bookmarkStart w:id="134" w:name="_Toc181092580"/>
      <w:bookmarkStart w:id="135" w:name="_Toc182841401"/>
      <w:r>
        <w:rPr>
          <w:rFonts w:ascii="Times New Roman" w:eastAsia="黑体" w:hAnsi="Times New Roman"/>
        </w:rPr>
        <w:t xml:space="preserve">6.2 </w:t>
      </w:r>
      <w:r>
        <w:rPr>
          <w:rFonts w:ascii="Times New Roman" w:eastAsia="黑体" w:hAnsi="Times New Roman" w:hint="eastAsia"/>
        </w:rPr>
        <w:t>公共空间</w:t>
      </w:r>
      <w:bookmarkEnd w:id="134"/>
      <w:bookmarkEnd w:id="135"/>
    </w:p>
    <w:p w14:paraId="389C296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6.2.6  </w:t>
      </w:r>
      <w:r>
        <w:rPr>
          <w:rFonts w:ascii="Times New Roman" w:eastAsia="宋体" w:hAnsi="Times New Roman"/>
          <w:color w:val="auto"/>
        </w:rPr>
        <w:t>入户层在</w:t>
      </w:r>
      <w:r>
        <w:rPr>
          <w:rFonts w:ascii="Times New Roman" w:eastAsia="宋体" w:hAnsi="Times New Roman"/>
          <w:color w:val="auto"/>
        </w:rPr>
        <w:t>2</w:t>
      </w:r>
      <w:r>
        <w:rPr>
          <w:rFonts w:ascii="Times New Roman" w:eastAsia="宋体" w:hAnsi="Times New Roman"/>
          <w:color w:val="auto"/>
        </w:rPr>
        <w:t>层及以上的住宅设电梯、设担架梯的原因除了考虑住宅的舒适度外，适老、</w:t>
      </w:r>
      <w:proofErr w:type="gramStart"/>
      <w:r>
        <w:rPr>
          <w:rFonts w:ascii="Times New Roman" w:eastAsia="宋体" w:hAnsi="Times New Roman"/>
          <w:color w:val="auto"/>
        </w:rPr>
        <w:t>适幼是</w:t>
      </w:r>
      <w:proofErr w:type="gramEnd"/>
      <w:r>
        <w:rPr>
          <w:rFonts w:ascii="Times New Roman" w:eastAsia="宋体" w:hAnsi="Times New Roman"/>
          <w:color w:val="auto"/>
        </w:rPr>
        <w:t>重要的因素。</w:t>
      </w:r>
    </w:p>
    <w:p w14:paraId="59ED597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6.2.14  </w:t>
      </w:r>
      <w:r>
        <w:rPr>
          <w:rFonts w:ascii="Times New Roman" w:eastAsia="宋体" w:hAnsi="Times New Roman"/>
          <w:color w:val="auto"/>
        </w:rPr>
        <w:t>地下单元入口顶面管道布置众多，易造成净高较低，地下车库、电梯厅也是住户归家流线上的重要节点。为了提升住户的归家体验，本条结合居民调研结果适当提高净高、净宽要求。</w:t>
      </w:r>
    </w:p>
    <w:p w14:paraId="018F0108" w14:textId="77777777" w:rsidR="00622EE7" w:rsidRDefault="00E60909">
      <w:pPr>
        <w:spacing w:beforeLines="50" w:before="156" w:afterLines="50" w:after="156" w:line="360" w:lineRule="auto"/>
        <w:jc w:val="center"/>
        <w:outlineLvl w:val="1"/>
        <w:rPr>
          <w:rFonts w:ascii="Times New Roman" w:eastAsia="黑体" w:hAnsi="Times New Roman"/>
        </w:rPr>
      </w:pPr>
      <w:bookmarkStart w:id="136" w:name="_Toc181092581"/>
      <w:bookmarkStart w:id="137" w:name="_Toc182841402"/>
      <w:r>
        <w:rPr>
          <w:rFonts w:ascii="Times New Roman" w:eastAsia="黑体" w:hAnsi="Times New Roman"/>
        </w:rPr>
        <w:t xml:space="preserve">6.3 </w:t>
      </w:r>
      <w:r>
        <w:rPr>
          <w:rFonts w:ascii="Times New Roman" w:eastAsia="黑体" w:hAnsi="Times New Roman" w:hint="eastAsia"/>
        </w:rPr>
        <w:t>户型设计</w:t>
      </w:r>
      <w:bookmarkEnd w:id="136"/>
      <w:bookmarkEnd w:id="137"/>
    </w:p>
    <w:p w14:paraId="6627439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6.3.2 </w:t>
      </w:r>
      <w:r>
        <w:rPr>
          <w:rFonts w:ascii="Times New Roman" w:eastAsia="宋体" w:hAnsi="Times New Roman"/>
          <w:color w:val="auto"/>
        </w:rPr>
        <w:t xml:space="preserve"> </w:t>
      </w:r>
      <w:r>
        <w:rPr>
          <w:rFonts w:ascii="Times New Roman" w:eastAsia="宋体" w:hAnsi="Times New Roman"/>
          <w:color w:val="auto"/>
        </w:rPr>
        <w:t>在进行全生命周期设计时，应特别关注</w:t>
      </w:r>
      <w:proofErr w:type="gramStart"/>
      <w:r>
        <w:rPr>
          <w:rFonts w:ascii="Times New Roman" w:eastAsia="宋体" w:hAnsi="Times New Roman"/>
          <w:color w:val="auto"/>
        </w:rPr>
        <w:t>适</w:t>
      </w:r>
      <w:proofErr w:type="gramEnd"/>
      <w:r>
        <w:rPr>
          <w:rFonts w:ascii="Times New Roman" w:eastAsia="宋体" w:hAnsi="Times New Roman"/>
          <w:color w:val="auto"/>
        </w:rPr>
        <w:t>老化的要求，为后期</w:t>
      </w:r>
      <w:proofErr w:type="gramStart"/>
      <w:r>
        <w:rPr>
          <w:rFonts w:ascii="Times New Roman" w:eastAsia="宋体" w:hAnsi="Times New Roman"/>
          <w:color w:val="auto"/>
        </w:rPr>
        <w:t>适</w:t>
      </w:r>
      <w:proofErr w:type="gramEnd"/>
      <w:r>
        <w:rPr>
          <w:rFonts w:ascii="Times New Roman" w:eastAsia="宋体" w:hAnsi="Times New Roman"/>
          <w:color w:val="auto"/>
        </w:rPr>
        <w:t>老化改造留有充分的余地，如轮椅回转空间、户内洄游空间、安装扶手</w:t>
      </w:r>
      <w:proofErr w:type="gramStart"/>
      <w:r>
        <w:rPr>
          <w:rFonts w:ascii="Times New Roman" w:eastAsia="宋体" w:hAnsi="Times New Roman"/>
          <w:color w:val="auto"/>
        </w:rPr>
        <w:t>和抓杆的</w:t>
      </w:r>
      <w:proofErr w:type="gramEnd"/>
      <w:r>
        <w:rPr>
          <w:rFonts w:ascii="Times New Roman" w:eastAsia="宋体" w:hAnsi="Times New Roman"/>
          <w:color w:val="auto"/>
        </w:rPr>
        <w:t>位置、报警装置的</w:t>
      </w:r>
      <w:r>
        <w:rPr>
          <w:rFonts w:ascii="Times New Roman" w:eastAsia="宋体" w:hAnsi="Times New Roman"/>
          <w:color w:val="auto"/>
        </w:rPr>
        <w:t>预设等。</w:t>
      </w:r>
    </w:p>
    <w:p w14:paraId="025917F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6.3.3  </w:t>
      </w:r>
      <w:r>
        <w:rPr>
          <w:rFonts w:ascii="Times New Roman" w:eastAsia="宋体" w:hAnsi="Times New Roman"/>
          <w:color w:val="auto"/>
        </w:rPr>
        <w:t>按照人对空间的感知特点，有必要按照面积的不同标准设置层高要求。本条结合了当地居民对层高的需求和《内蒙古自治区高品质住宅建设导则》的内容，并参考了现有的工程做法等因素，以</w:t>
      </w:r>
      <w:r>
        <w:rPr>
          <w:rFonts w:ascii="Times New Roman" w:eastAsia="宋体" w:hAnsi="Times New Roman"/>
          <w:color w:val="auto"/>
        </w:rPr>
        <w:t>110m²</w:t>
      </w:r>
      <w:r>
        <w:rPr>
          <w:rFonts w:ascii="Times New Roman" w:eastAsia="宋体" w:hAnsi="Times New Roman"/>
          <w:color w:val="auto"/>
        </w:rPr>
        <w:t>为界限进行划分，适当提高层高要求。同时，设有地暖、管道式新风的住宅，应考虑地暖和管道式新风对净高的影响。</w:t>
      </w:r>
      <w:r>
        <w:rPr>
          <w:rFonts w:ascii="Times New Roman" w:eastAsia="宋体" w:hAnsi="Times New Roman" w:hint="eastAsia"/>
          <w:color w:val="auto"/>
        </w:rPr>
        <w:t>本条的要求与鄂尔多斯《高品质住宅小区评价标准》</w:t>
      </w:r>
      <w:r>
        <w:rPr>
          <w:rFonts w:ascii="Times New Roman" w:eastAsia="宋体" w:hAnsi="Times New Roman"/>
          <w:color w:val="auto"/>
        </w:rPr>
        <w:t>DB 1506/T 56—2024</w:t>
      </w:r>
      <w:r>
        <w:rPr>
          <w:rFonts w:ascii="Times New Roman" w:eastAsia="宋体" w:hAnsi="Times New Roman" w:hint="eastAsia"/>
          <w:color w:val="auto"/>
        </w:rPr>
        <w:t>相对应，评价时，考虑到部分楼栋的限高要求或其他限值条件，按照达到要求的户型比例</w:t>
      </w:r>
      <w:r>
        <w:rPr>
          <w:rFonts w:ascii="Times New Roman" w:eastAsia="宋体" w:hAnsi="Times New Roman" w:hint="eastAsia"/>
          <w:color w:val="auto"/>
        </w:rPr>
        <w:lastRenderedPageBreak/>
        <w:t>折算分值。本条为品质项，要求小区内主力户型满足本条的规定，在特殊位置的户</w:t>
      </w:r>
      <w:r>
        <w:rPr>
          <w:rFonts w:ascii="Times New Roman" w:eastAsia="宋体" w:hAnsi="Times New Roman" w:hint="eastAsia"/>
          <w:color w:val="auto"/>
        </w:rPr>
        <w:t>型收到条件限制时可以放宽要求，但仍然要满足国家标准《</w:t>
      </w:r>
      <w:r>
        <w:rPr>
          <w:rFonts w:ascii="Times New Roman" w:eastAsia="宋体" w:hAnsi="Times New Roman"/>
          <w:color w:val="auto"/>
        </w:rPr>
        <w:t>住宅项目规范</w:t>
      </w:r>
      <w:r>
        <w:rPr>
          <w:rFonts w:ascii="Times New Roman" w:eastAsia="宋体" w:hAnsi="Times New Roman" w:hint="eastAsia"/>
          <w:color w:val="auto"/>
        </w:rPr>
        <w:t>》</w:t>
      </w:r>
      <w:r>
        <w:rPr>
          <w:rFonts w:ascii="Times New Roman" w:eastAsia="宋体" w:hAnsi="Times New Roman"/>
          <w:color w:val="auto"/>
        </w:rPr>
        <w:t>GB 55038-2025</w:t>
      </w:r>
      <w:r>
        <w:rPr>
          <w:rFonts w:ascii="Times New Roman" w:eastAsia="宋体" w:hAnsi="Times New Roman" w:hint="eastAsia"/>
          <w:color w:val="auto"/>
        </w:rPr>
        <w:t>关于层高的规定。</w:t>
      </w:r>
    </w:p>
    <w:p w14:paraId="2EF8D95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6.3.5  </w:t>
      </w:r>
      <w:r>
        <w:rPr>
          <w:rFonts w:ascii="Times New Roman" w:eastAsia="宋体" w:hAnsi="Times New Roman"/>
          <w:color w:val="auto"/>
        </w:rPr>
        <w:t>当地夏季凉爽，提高外窗可开启面积可以有效提升通风效果，降低空调等设备的使用，达到舒适、节能的效果。</w:t>
      </w:r>
    </w:p>
    <w:p w14:paraId="1BB68F1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6.3.7 </w:t>
      </w:r>
      <w:r>
        <w:rPr>
          <w:rFonts w:ascii="Times New Roman" w:eastAsia="宋体" w:hAnsi="Times New Roman"/>
          <w:color w:val="auto"/>
        </w:rPr>
        <w:t xml:space="preserve"> </w:t>
      </w:r>
      <w:r>
        <w:rPr>
          <w:rFonts w:ascii="Times New Roman" w:eastAsia="宋体" w:hAnsi="Times New Roman"/>
          <w:color w:val="auto"/>
        </w:rPr>
        <w:t>有</w:t>
      </w:r>
      <w:r>
        <w:rPr>
          <w:rFonts w:ascii="Times New Roman" w:eastAsia="宋体" w:hAnsi="Times New Roman"/>
          <w:color w:val="auto"/>
        </w:rPr>
        <w:t>3</w:t>
      </w:r>
      <w:r>
        <w:rPr>
          <w:rFonts w:ascii="Times New Roman" w:eastAsia="宋体" w:hAnsi="Times New Roman"/>
          <w:color w:val="auto"/>
        </w:rPr>
        <w:t>个及以上</w:t>
      </w:r>
      <w:r>
        <w:rPr>
          <w:rFonts w:ascii="Times New Roman" w:eastAsia="宋体" w:hAnsi="Times New Roman" w:hint="eastAsia"/>
          <w:color w:val="auto"/>
        </w:rPr>
        <w:t>卧室</w:t>
      </w:r>
      <w:r>
        <w:rPr>
          <w:rFonts w:ascii="Times New Roman" w:eastAsia="宋体" w:hAnsi="Times New Roman"/>
          <w:color w:val="auto"/>
        </w:rPr>
        <w:t>时</w:t>
      </w:r>
      <w:r>
        <w:rPr>
          <w:rFonts w:ascii="Times New Roman" w:eastAsia="宋体" w:hAnsi="Times New Roman" w:hint="eastAsia"/>
          <w:color w:val="auto"/>
        </w:rPr>
        <w:t>建议起居室（厅）面宽不小于</w:t>
      </w:r>
      <w:r>
        <w:rPr>
          <w:rFonts w:ascii="Times New Roman" w:eastAsia="宋体" w:hAnsi="Times New Roman"/>
          <w:color w:val="auto"/>
        </w:rPr>
        <w:t>4.50m</w:t>
      </w:r>
      <w:r>
        <w:rPr>
          <w:rFonts w:ascii="Times New Roman" w:eastAsia="宋体" w:hAnsi="Times New Roman" w:hint="eastAsia"/>
          <w:color w:val="auto"/>
        </w:rPr>
        <w:t>。</w:t>
      </w:r>
    </w:p>
    <w:p w14:paraId="459C1D7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6.3.8  </w:t>
      </w:r>
      <w:r>
        <w:rPr>
          <w:rFonts w:ascii="Times New Roman" w:eastAsia="宋体" w:hAnsi="Times New Roman"/>
          <w:color w:val="auto"/>
        </w:rPr>
        <w:t>干湿分离的方式可以让多人同时使用卫生间的不同功能区域，同时干区保持干燥，减少了细菌和霉菌的滋生，家具和设施不会因为潮湿而受损，不仅有利于健康，也便于日常清洁和维护。减少了滑倒的风险，尤其是对于老人和小孩</w:t>
      </w:r>
      <w:r>
        <w:rPr>
          <w:rFonts w:ascii="Times New Roman" w:eastAsia="宋体" w:hAnsi="Times New Roman"/>
          <w:color w:val="auto"/>
        </w:rPr>
        <w:t>更加安全。</w:t>
      </w:r>
    </w:p>
    <w:p w14:paraId="1123AD0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6.3.9  </w:t>
      </w:r>
      <w:r>
        <w:rPr>
          <w:rFonts w:ascii="Times New Roman" w:eastAsia="宋体" w:hAnsi="Times New Roman"/>
          <w:color w:val="auto"/>
        </w:rPr>
        <w:t>预留条件是指卫生间安装马桶、浴室柜等部品后，至少有一面合适的墙体能够具备安装扶手、</w:t>
      </w:r>
      <w:proofErr w:type="gramStart"/>
      <w:r>
        <w:rPr>
          <w:rFonts w:ascii="Times New Roman" w:eastAsia="宋体" w:hAnsi="Times New Roman"/>
          <w:color w:val="auto"/>
        </w:rPr>
        <w:t>抓杆的</w:t>
      </w:r>
      <w:proofErr w:type="gramEnd"/>
      <w:r>
        <w:rPr>
          <w:rFonts w:ascii="Times New Roman" w:eastAsia="宋体" w:hAnsi="Times New Roman"/>
          <w:color w:val="auto"/>
        </w:rPr>
        <w:t>条件，可适应未来的适老化改造。</w:t>
      </w:r>
    </w:p>
    <w:p w14:paraId="20B1F256" w14:textId="77777777" w:rsidR="00622EE7" w:rsidRDefault="00E60909">
      <w:pPr>
        <w:pStyle w:val="af3"/>
        <w:spacing w:beforeLines="25" w:before="78"/>
        <w:ind w:firstLineChars="0" w:firstLine="0"/>
        <w:contextualSpacing/>
      </w:pPr>
      <w:r>
        <w:rPr>
          <w:b/>
        </w:rPr>
        <w:t xml:space="preserve">6.3.10  </w:t>
      </w:r>
      <w:r>
        <w:t>厨房、卫生间是建筑室内的污染源空间，避免污染物扩散，否则会导致污染物串通至其他空间</w:t>
      </w:r>
      <w:r>
        <w:t>,</w:t>
      </w:r>
      <w:r>
        <w:t>影响人的健康。如果设置改善室内舒适度的通风系统，进风口宜低于排风口</w:t>
      </w:r>
      <w:proofErr w:type="gramStart"/>
      <w:r>
        <w:t>或进排风口</w:t>
      </w:r>
      <w:proofErr w:type="gramEnd"/>
      <w:r>
        <w:t>在同一高度、不同方向设置。</w:t>
      </w:r>
    </w:p>
    <w:p w14:paraId="65AA8C5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6.3.12  </w:t>
      </w:r>
      <w:r>
        <w:rPr>
          <w:rFonts w:ascii="Times New Roman" w:eastAsia="宋体" w:hAnsi="Times New Roman"/>
          <w:color w:val="auto"/>
        </w:rPr>
        <w:t>适度放宽门洞的尺度，可为行李箱、轮椅、婴儿车等进出提供方便，以满足建设全龄友好社区的要求。</w:t>
      </w:r>
    </w:p>
    <w:p w14:paraId="5AD67078" w14:textId="77777777" w:rsidR="00622EE7" w:rsidRDefault="00E60909">
      <w:pPr>
        <w:pStyle w:val="1"/>
      </w:pPr>
      <w:bookmarkStart w:id="138" w:name="_Toc182841403"/>
      <w:bookmarkStart w:id="139" w:name="_Toc181092582"/>
      <w:r>
        <w:lastRenderedPageBreak/>
        <w:t xml:space="preserve">7 </w:t>
      </w:r>
      <w:r>
        <w:rPr>
          <w:rFonts w:hint="eastAsia"/>
        </w:rPr>
        <w:t xml:space="preserve"> </w:t>
      </w:r>
      <w:r>
        <w:rPr>
          <w:rFonts w:hint="eastAsia"/>
        </w:rPr>
        <w:t>建筑结构</w:t>
      </w:r>
      <w:bookmarkEnd w:id="138"/>
      <w:bookmarkEnd w:id="139"/>
    </w:p>
    <w:p w14:paraId="6FA59265" w14:textId="77777777" w:rsidR="00622EE7" w:rsidRDefault="00E60909">
      <w:pPr>
        <w:spacing w:beforeLines="50" w:before="156" w:afterLines="50" w:after="156" w:line="360" w:lineRule="auto"/>
        <w:jc w:val="center"/>
        <w:outlineLvl w:val="1"/>
        <w:rPr>
          <w:rFonts w:ascii="Times New Roman" w:eastAsia="黑体" w:hAnsi="Times New Roman"/>
        </w:rPr>
      </w:pPr>
      <w:bookmarkStart w:id="140" w:name="_Toc182841404"/>
      <w:bookmarkStart w:id="141" w:name="_Toc181092583"/>
      <w:r>
        <w:rPr>
          <w:rFonts w:ascii="Times New Roman" w:eastAsia="黑体" w:hAnsi="Times New Roman" w:hint="eastAsia"/>
        </w:rPr>
        <w:t>7</w:t>
      </w:r>
      <w:r>
        <w:rPr>
          <w:rFonts w:ascii="Times New Roman" w:eastAsia="黑体" w:hAnsi="Times New Roman"/>
        </w:rPr>
        <w:t xml:space="preserve">.1 </w:t>
      </w:r>
      <w:r>
        <w:rPr>
          <w:rFonts w:ascii="Times New Roman" w:eastAsia="黑体" w:hAnsi="Times New Roman" w:hint="eastAsia"/>
        </w:rPr>
        <w:t>结构体系和材料</w:t>
      </w:r>
      <w:bookmarkEnd w:id="140"/>
      <w:bookmarkEnd w:id="141"/>
    </w:p>
    <w:p w14:paraId="3DEE0EA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7.1.6  </w:t>
      </w:r>
      <w:r>
        <w:rPr>
          <w:rFonts w:ascii="Times New Roman" w:eastAsia="宋体" w:hAnsi="Times New Roman"/>
          <w:color w:val="auto"/>
        </w:rPr>
        <w:t>为了做到个性化空间布局和空间布局未来的灵活调整，合理的结构设计极为关键。一般来说，大空间设计能够在未来维护更新的时候获得优势，使得室内空间在不改变主体结构的情况下更容易适应不同的需求，增加装修和布局调整的灵活性。设计宜提供大空间布局方案和小空间布局方案，并按包络的荷载工况进行设计。</w:t>
      </w:r>
    </w:p>
    <w:p w14:paraId="70B3D32F" w14:textId="77777777" w:rsidR="00622EE7" w:rsidRDefault="00E60909">
      <w:pPr>
        <w:spacing w:beforeLines="50" w:before="156" w:afterLines="50" w:after="156" w:line="360" w:lineRule="auto"/>
        <w:jc w:val="center"/>
        <w:outlineLvl w:val="1"/>
        <w:rPr>
          <w:rFonts w:ascii="Times New Roman" w:eastAsia="黑体" w:hAnsi="Times New Roman"/>
        </w:rPr>
      </w:pPr>
      <w:bookmarkStart w:id="142" w:name="_Toc182841405"/>
      <w:bookmarkStart w:id="143" w:name="_Toc181092584"/>
      <w:r>
        <w:rPr>
          <w:rFonts w:ascii="Times New Roman" w:eastAsia="黑体" w:hAnsi="Times New Roman" w:hint="eastAsia"/>
        </w:rPr>
        <w:t>7</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地上结构</w:t>
      </w:r>
      <w:bookmarkEnd w:id="142"/>
      <w:bookmarkEnd w:id="143"/>
    </w:p>
    <w:p w14:paraId="3DB9A1B8" w14:textId="77777777" w:rsidR="00622EE7" w:rsidRDefault="00E60909">
      <w:pPr>
        <w:pStyle w:val="af8"/>
      </w:pPr>
      <w:r>
        <w:rPr>
          <w:b/>
        </w:rPr>
        <w:t xml:space="preserve">7.2.4  </w:t>
      </w:r>
      <w:r>
        <w:t>随着社会经济的发展和生活水平的提高，建筑舒适性问题开始引起人们的重视，如果在工程竣工后才发现舒适度问题，解决的难度和代价往往很大，因此新建建筑应在建筑结构设计时进行舒适度控制。</w:t>
      </w:r>
    </w:p>
    <w:p w14:paraId="157DDC33" w14:textId="77777777" w:rsidR="00622EE7" w:rsidRDefault="00E60909">
      <w:pPr>
        <w:pStyle w:val="af8"/>
      </w:pPr>
      <w:r>
        <w:rPr>
          <w:b/>
        </w:rPr>
        <w:t>7.</w:t>
      </w:r>
      <w:r>
        <w:rPr>
          <w:b/>
        </w:rPr>
        <w:t xml:space="preserve">2.7  </w:t>
      </w:r>
      <w:r>
        <w:t>根据现行国家标准《工程结构通用规范》</w:t>
      </w:r>
      <w:r>
        <w:t>GB 55001-2021</w:t>
      </w:r>
      <w:r>
        <w:t>的规定，住宅阳台的活荷载标准值为</w:t>
      </w:r>
      <w:r>
        <w:t>2.5kN/m</w:t>
      </w:r>
      <w:r>
        <w:rPr>
          <w:vertAlign w:val="superscript"/>
        </w:rPr>
        <w:t>2</w:t>
      </w:r>
      <w:r>
        <w:t>。但实际上，住户经常会在阳台、露台上设置绿化或堆放较多杂物。阳台、露台多采用挑板，结构冗余度低，近年来各地发生了多起阳台事故，因此建议对阳台、露台的活荷载标准</w:t>
      </w:r>
      <w:proofErr w:type="gramStart"/>
      <w:r>
        <w:t>值适当</w:t>
      </w:r>
      <w:proofErr w:type="gramEnd"/>
      <w:r>
        <w:t>提升，可进一步提升结构安全冗余度。</w:t>
      </w:r>
    </w:p>
    <w:p w14:paraId="18754787" w14:textId="77777777" w:rsidR="00622EE7" w:rsidRDefault="00E60909">
      <w:pPr>
        <w:spacing w:beforeLines="50" w:before="156" w:afterLines="50" w:after="156" w:line="360" w:lineRule="auto"/>
        <w:jc w:val="center"/>
        <w:outlineLvl w:val="1"/>
        <w:rPr>
          <w:rFonts w:ascii="Times New Roman" w:eastAsia="黑体" w:hAnsi="Times New Roman"/>
        </w:rPr>
      </w:pPr>
      <w:bookmarkStart w:id="144" w:name="_Toc182841406"/>
      <w:bookmarkStart w:id="145" w:name="_Toc181092585"/>
      <w:r>
        <w:rPr>
          <w:rFonts w:ascii="Times New Roman" w:eastAsia="黑体" w:hAnsi="Times New Roman" w:hint="eastAsia"/>
        </w:rPr>
        <w:t>7.3</w:t>
      </w:r>
      <w:r>
        <w:rPr>
          <w:rFonts w:ascii="Times New Roman" w:eastAsia="黑体" w:hAnsi="Times New Roman" w:hint="eastAsia"/>
        </w:rPr>
        <w:t>地下结构和基础</w:t>
      </w:r>
      <w:bookmarkEnd w:id="144"/>
      <w:bookmarkEnd w:id="145"/>
    </w:p>
    <w:p w14:paraId="6645C5F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7.3.2  </w:t>
      </w:r>
      <w:r>
        <w:rPr>
          <w:rFonts w:ascii="Times New Roman" w:eastAsia="宋体" w:hAnsi="Times New Roman"/>
          <w:color w:val="auto"/>
        </w:rPr>
        <w:t>地下室顶板采用无梁楼盖的项目事故频发，不建议采用无梁楼盖。</w:t>
      </w:r>
    </w:p>
    <w:p w14:paraId="1DC81F8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7.3.4 </w:t>
      </w:r>
      <w:r>
        <w:rPr>
          <w:rFonts w:ascii="Times New Roman" w:eastAsia="宋体" w:hAnsi="Times New Roman"/>
          <w:color w:val="auto"/>
        </w:rPr>
        <w:t xml:space="preserve"> </w:t>
      </w:r>
      <w:r>
        <w:rPr>
          <w:rFonts w:ascii="Times New Roman" w:eastAsia="宋体" w:hAnsi="Times New Roman"/>
          <w:color w:val="auto"/>
        </w:rPr>
        <w:t>地下室渗漏问题较普遍，修复难度高，地下室结构外墙板设计应满足水土压力及地面荷载侧压</w:t>
      </w:r>
      <w:r>
        <w:rPr>
          <w:rFonts w:ascii="Times New Roman" w:eastAsia="宋体" w:hAnsi="Times New Roman"/>
          <w:color w:val="auto"/>
        </w:rPr>
        <w:t>作用下承载力要求，其竖向和水平分布钢筋应双层双向布置。</w:t>
      </w:r>
    </w:p>
    <w:p w14:paraId="216E112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7.3.5  </w:t>
      </w:r>
      <w:r>
        <w:rPr>
          <w:rFonts w:ascii="Times New Roman" w:eastAsia="宋体" w:hAnsi="Times New Roman"/>
          <w:color w:val="auto"/>
        </w:rPr>
        <w:t>地下室渗漏问题较普遍，修复难度高，应提高要求尽量避免地下室渗漏问题。</w:t>
      </w:r>
    </w:p>
    <w:p w14:paraId="1694C4D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7.3.8  </w:t>
      </w:r>
      <w:r>
        <w:rPr>
          <w:rFonts w:ascii="Times New Roman" w:eastAsia="宋体" w:hAnsi="Times New Roman"/>
          <w:color w:val="auto"/>
        </w:rPr>
        <w:t>近年来建筑筏板、防水板抗浮问题频发，造成的后果严重且损失巨大，因此，提升抗浮安全系数是保障建筑安全的重要措施。抗浮问题的严重性在于其可能导致的结构破坏和经济损失，且修复难度非常高。为了有效应对这一问题，需要从多个方面提升抗浮安全系数，有效减少因地下水位变化引起的底板上浮、开裂等问题，从而保障建筑物的整体稳定性和使用寿命。</w:t>
      </w:r>
    </w:p>
    <w:p w14:paraId="6450EE88" w14:textId="77777777" w:rsidR="00622EE7" w:rsidRDefault="00E60909">
      <w:pPr>
        <w:pStyle w:val="af8"/>
      </w:pPr>
      <w:r>
        <w:rPr>
          <w:b/>
        </w:rPr>
        <w:lastRenderedPageBreak/>
        <w:t xml:space="preserve">7.3.9  </w:t>
      </w:r>
      <w:r>
        <w:t>围墙质量是小区建设中</w:t>
      </w:r>
      <w:r>
        <w:t>易被忽略的部分，基础的深度不够、基底压实不紧会导致围墙不稳定，容易倾斜或倒塌。砌筑基础抗风和抗震较差，应采用混凝土基础。基底应尽量在冻土深度以下，根据风荷载、墙高、墙厚、埋深、基底承载力等具体计算确定。可参照现行国家标准设计图集《室外工程》</w:t>
      </w:r>
      <w:r>
        <w:t>12J003</w:t>
      </w:r>
      <w:r>
        <w:t>选型。</w:t>
      </w:r>
    </w:p>
    <w:p w14:paraId="0FDBC39B" w14:textId="77777777" w:rsidR="00622EE7" w:rsidRDefault="00E60909">
      <w:pPr>
        <w:pStyle w:val="1"/>
      </w:pPr>
      <w:bookmarkStart w:id="146" w:name="_Toc182841407"/>
      <w:bookmarkStart w:id="147" w:name="_Toc181092586"/>
      <w:r>
        <w:lastRenderedPageBreak/>
        <w:t xml:space="preserve">8 </w:t>
      </w:r>
      <w:r>
        <w:rPr>
          <w:rFonts w:hint="eastAsia"/>
        </w:rPr>
        <w:t>建筑材料和构造</w:t>
      </w:r>
      <w:bookmarkEnd w:id="146"/>
      <w:bookmarkEnd w:id="147"/>
    </w:p>
    <w:p w14:paraId="7CEBCFDF" w14:textId="77777777" w:rsidR="00622EE7" w:rsidRDefault="00E60909">
      <w:pPr>
        <w:spacing w:beforeLines="50" w:before="156" w:afterLines="50" w:after="156" w:line="360" w:lineRule="auto"/>
        <w:jc w:val="center"/>
        <w:outlineLvl w:val="1"/>
        <w:rPr>
          <w:rFonts w:ascii="Times New Roman" w:eastAsia="黑体" w:hAnsi="Times New Roman"/>
        </w:rPr>
      </w:pPr>
      <w:bookmarkStart w:id="148" w:name="_Toc182841408"/>
      <w:bookmarkStart w:id="149" w:name="_Toc181092587"/>
      <w:r>
        <w:rPr>
          <w:rFonts w:ascii="Times New Roman" w:eastAsia="黑体" w:hAnsi="Times New Roman"/>
        </w:rPr>
        <w:t xml:space="preserve">8.1 </w:t>
      </w:r>
      <w:r>
        <w:rPr>
          <w:rFonts w:ascii="Times New Roman" w:eastAsia="黑体" w:hAnsi="Times New Roman" w:hint="eastAsia"/>
        </w:rPr>
        <w:t>隔声</w:t>
      </w:r>
      <w:bookmarkEnd w:id="148"/>
      <w:bookmarkEnd w:id="149"/>
    </w:p>
    <w:p w14:paraId="7D92918C" w14:textId="77777777" w:rsidR="00622EE7" w:rsidRDefault="00E60909">
      <w:pPr>
        <w:pStyle w:val="af5"/>
        <w:rPr>
          <w:rFonts w:ascii="Times New Roman" w:eastAsia="宋体" w:hAnsi="Times New Roman"/>
          <w:color w:val="auto"/>
        </w:rPr>
      </w:pPr>
      <w:r>
        <w:rPr>
          <w:rFonts w:ascii="Times New Roman" w:eastAsia="宋体" w:hAnsi="Times New Roman"/>
          <w:color w:val="auto"/>
        </w:rPr>
        <w:t>根据项目经验统计，现浇混凝土分户墙厚度为</w:t>
      </w:r>
      <w:r>
        <w:rPr>
          <w:rFonts w:ascii="Times New Roman" w:eastAsia="宋体" w:hAnsi="Times New Roman"/>
          <w:color w:val="auto"/>
        </w:rPr>
        <w:t>150mm</w:t>
      </w:r>
      <w:r>
        <w:rPr>
          <w:rFonts w:ascii="Times New Roman" w:eastAsia="宋体" w:hAnsi="Times New Roman"/>
          <w:color w:val="auto"/>
        </w:rPr>
        <w:t>、</w:t>
      </w:r>
      <w:r>
        <w:rPr>
          <w:rFonts w:ascii="Times New Roman" w:eastAsia="宋体" w:hAnsi="Times New Roman"/>
          <w:color w:val="auto"/>
        </w:rPr>
        <w:t>200mm</w:t>
      </w:r>
      <w:r>
        <w:rPr>
          <w:rFonts w:ascii="Times New Roman" w:eastAsia="宋体" w:hAnsi="Times New Roman"/>
          <w:color w:val="auto"/>
        </w:rPr>
        <w:t>、</w:t>
      </w:r>
      <w:r>
        <w:rPr>
          <w:rFonts w:ascii="Times New Roman" w:eastAsia="宋体" w:hAnsi="Times New Roman"/>
          <w:color w:val="auto"/>
        </w:rPr>
        <w:t>250mm</w:t>
      </w:r>
      <w:r>
        <w:rPr>
          <w:rFonts w:ascii="Times New Roman" w:eastAsia="宋体" w:hAnsi="Times New Roman"/>
          <w:color w:val="auto"/>
        </w:rPr>
        <w:t>时，隔声量约为</w:t>
      </w:r>
      <w:r>
        <w:rPr>
          <w:rFonts w:ascii="Times New Roman" w:eastAsia="宋体" w:hAnsi="Times New Roman"/>
          <w:color w:val="auto"/>
        </w:rPr>
        <w:t>50dB</w:t>
      </w:r>
      <w:r>
        <w:rPr>
          <w:rFonts w:ascii="Times New Roman" w:eastAsia="宋体" w:hAnsi="Times New Roman"/>
          <w:color w:val="auto"/>
        </w:rPr>
        <w:t>、</w:t>
      </w:r>
      <w:r>
        <w:rPr>
          <w:rFonts w:ascii="Times New Roman" w:eastAsia="宋体" w:hAnsi="Times New Roman"/>
          <w:color w:val="auto"/>
        </w:rPr>
        <w:t>53dB</w:t>
      </w:r>
      <w:r>
        <w:rPr>
          <w:rFonts w:ascii="Times New Roman" w:eastAsia="宋体" w:hAnsi="Times New Roman"/>
          <w:color w:val="auto"/>
        </w:rPr>
        <w:t>、</w:t>
      </w:r>
      <w:r>
        <w:rPr>
          <w:rFonts w:ascii="Times New Roman" w:eastAsia="宋体" w:hAnsi="Times New Roman"/>
          <w:color w:val="auto"/>
        </w:rPr>
        <w:t>55dB</w:t>
      </w:r>
      <w:r>
        <w:rPr>
          <w:rFonts w:ascii="Times New Roman" w:eastAsia="宋体" w:hAnsi="Times New Roman"/>
          <w:color w:val="auto"/>
        </w:rPr>
        <w:t>。当采用混凝土砌块或装配式条板分户墙时，可选用下列隔声构造</w:t>
      </w:r>
      <w:r>
        <w:rPr>
          <w:rFonts w:ascii="Times New Roman" w:eastAsia="宋体" w:hAnsi="Times New Roman" w:hint="eastAsia"/>
          <w:color w:val="auto"/>
        </w:rPr>
        <w:t>（图</w:t>
      </w:r>
      <w:r>
        <w:rPr>
          <w:rFonts w:ascii="Times New Roman" w:eastAsia="宋体" w:hAnsi="Times New Roman" w:hint="eastAsia"/>
          <w:color w:val="auto"/>
        </w:rPr>
        <w:t>4</w:t>
      </w:r>
      <w:r>
        <w:rPr>
          <w:rFonts w:ascii="Times New Roman" w:eastAsia="宋体" w:hAnsi="Times New Roman" w:hint="eastAsia"/>
          <w:color w:val="auto"/>
        </w:rPr>
        <w:t>）</w:t>
      </w:r>
      <w:r>
        <w:rPr>
          <w:rFonts w:ascii="Times New Roman" w:eastAsia="宋体" w:hAnsi="Times New Roman"/>
          <w:color w:val="auto"/>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22EE7" w14:paraId="00290C23" w14:textId="77777777">
        <w:tc>
          <w:tcPr>
            <w:tcW w:w="4148" w:type="dxa"/>
            <w:vAlign w:val="center"/>
          </w:tcPr>
          <w:p w14:paraId="7AE6ABA8" w14:textId="77777777" w:rsidR="00622EE7" w:rsidRDefault="00E60909">
            <w:pPr>
              <w:pStyle w:val="af5"/>
              <w:jc w:val="center"/>
              <w:rPr>
                <w:rFonts w:ascii="宋体" w:eastAsia="宋体" w:hAnsi="宋体"/>
                <w:b/>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w:t>
            </w:r>
            <w:r>
              <w:rPr>
                <w:rFonts w:ascii="宋体" w:eastAsia="宋体" w:hAnsi="宋体" w:hint="eastAsia"/>
                <w:color w:val="auto"/>
                <w:sz w:val="21"/>
                <w:szCs w:val="21"/>
              </w:rPr>
              <w:t>50dB</w:t>
            </w:r>
            <w:r>
              <w:rPr>
                <w:rFonts w:ascii="宋体" w:eastAsia="宋体" w:hAnsi="宋体" w:hint="eastAsia"/>
                <w:color w:val="auto"/>
                <w:sz w:val="21"/>
                <w:szCs w:val="21"/>
              </w:rPr>
              <w:t>混凝土</w:t>
            </w:r>
            <w:r>
              <w:rPr>
                <w:rFonts w:ascii="宋体" w:eastAsia="宋体" w:hAnsi="宋体" w:hint="eastAsia"/>
                <w:color w:val="auto"/>
                <w:sz w:val="21"/>
                <w:szCs w:val="21"/>
              </w:rPr>
              <w:t>+</w:t>
            </w:r>
            <w:r>
              <w:rPr>
                <w:rFonts w:ascii="宋体" w:eastAsia="宋体" w:hAnsi="宋体" w:hint="eastAsia"/>
                <w:color w:val="auto"/>
                <w:sz w:val="21"/>
                <w:szCs w:val="21"/>
              </w:rPr>
              <w:t>砌块分户墙构造</w:t>
            </w:r>
          </w:p>
        </w:tc>
        <w:tc>
          <w:tcPr>
            <w:tcW w:w="4148" w:type="dxa"/>
            <w:vAlign w:val="center"/>
          </w:tcPr>
          <w:p w14:paraId="7E543959" w14:textId="77777777" w:rsidR="00622EE7" w:rsidRDefault="00E60909">
            <w:pPr>
              <w:pStyle w:val="af5"/>
              <w:jc w:val="center"/>
              <w:rPr>
                <w:rFonts w:ascii="宋体" w:eastAsia="宋体" w:hAnsi="宋体"/>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w:t>
            </w:r>
            <w:r>
              <w:rPr>
                <w:rFonts w:ascii="宋体" w:eastAsia="宋体" w:hAnsi="宋体" w:hint="eastAsia"/>
                <w:color w:val="auto"/>
                <w:sz w:val="21"/>
                <w:szCs w:val="21"/>
              </w:rPr>
              <w:t>50dB</w:t>
            </w:r>
            <w:r>
              <w:rPr>
                <w:rFonts w:ascii="宋体" w:eastAsia="宋体" w:hAnsi="宋体" w:hint="eastAsia"/>
                <w:color w:val="auto"/>
                <w:sz w:val="21"/>
                <w:szCs w:val="21"/>
              </w:rPr>
              <w:t>双层复合装配式墙体构造</w:t>
            </w:r>
          </w:p>
        </w:tc>
      </w:tr>
      <w:tr w:rsidR="00622EE7" w14:paraId="5E91772C" w14:textId="77777777">
        <w:tc>
          <w:tcPr>
            <w:tcW w:w="4148" w:type="dxa"/>
            <w:vAlign w:val="center"/>
          </w:tcPr>
          <w:p w14:paraId="41C3577B"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7FAC39A6" wp14:editId="0D2C9A88">
                  <wp:extent cx="1457960" cy="734695"/>
                  <wp:effectExtent l="0" t="0" r="8890" b="8255"/>
                  <wp:docPr id="8" name="图片 8" descr="D:\002 杜丽娟工作\01 标准院\01 项目设计\01 标准与图集设计\01 标准规范\00-2024年\07 苗青-好房子-隔声部分\2025年\10.11配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002 杜丽娟工作\01 标准院\01 项目设计\01 标准与图集设计\01 标准规范\00-2024年\07 苗青-好房子-隔声部分\2025年\10.11配图\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73381" cy="742411"/>
                          </a:xfrm>
                          <a:prstGeom prst="rect">
                            <a:avLst/>
                          </a:prstGeom>
                          <a:noFill/>
                          <a:ln>
                            <a:noFill/>
                          </a:ln>
                        </pic:spPr>
                      </pic:pic>
                    </a:graphicData>
                  </a:graphic>
                </wp:inline>
              </w:drawing>
            </w:r>
          </w:p>
        </w:tc>
        <w:tc>
          <w:tcPr>
            <w:tcW w:w="4148" w:type="dxa"/>
            <w:vAlign w:val="center"/>
          </w:tcPr>
          <w:p w14:paraId="7DFFEF6F"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03310563" wp14:editId="0AA8605D">
                  <wp:extent cx="1564005" cy="673735"/>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603213" cy="690906"/>
                          </a:xfrm>
                          <a:prstGeom prst="rect">
                            <a:avLst/>
                          </a:prstGeom>
                          <a:noFill/>
                          <a:ln>
                            <a:noFill/>
                          </a:ln>
                        </pic:spPr>
                      </pic:pic>
                    </a:graphicData>
                  </a:graphic>
                </wp:inline>
              </w:drawing>
            </w:r>
          </w:p>
        </w:tc>
      </w:tr>
      <w:tr w:rsidR="00622EE7" w14:paraId="0CDD653D" w14:textId="77777777">
        <w:tc>
          <w:tcPr>
            <w:tcW w:w="4148" w:type="dxa"/>
            <w:vAlign w:val="center"/>
          </w:tcPr>
          <w:p w14:paraId="0D95CAF3"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w:t>
            </w:r>
            <w:r>
              <w:rPr>
                <w:rFonts w:ascii="宋体" w:eastAsia="宋体" w:hAnsi="宋体" w:hint="eastAsia"/>
                <w:color w:val="auto"/>
                <w:sz w:val="21"/>
                <w:szCs w:val="21"/>
              </w:rPr>
              <w:t>混凝土；</w:t>
            </w:r>
            <w:r>
              <w:rPr>
                <w:rFonts w:ascii="宋体" w:eastAsia="宋体" w:hAnsi="宋体" w:hint="eastAsia"/>
                <w:color w:val="auto"/>
                <w:sz w:val="21"/>
                <w:szCs w:val="21"/>
              </w:rPr>
              <w:t>2</w:t>
            </w:r>
            <w:r>
              <w:rPr>
                <w:rFonts w:ascii="宋体" w:eastAsia="宋体" w:hAnsi="宋体"/>
                <w:color w:val="auto"/>
                <w:sz w:val="21"/>
                <w:szCs w:val="21"/>
              </w:rPr>
              <w:t>-</w:t>
            </w:r>
            <w:r>
              <w:rPr>
                <w:rFonts w:ascii="宋体" w:eastAsia="宋体" w:hAnsi="宋体" w:hint="eastAsia"/>
                <w:color w:val="auto"/>
                <w:sz w:val="21"/>
                <w:szCs w:val="21"/>
              </w:rPr>
              <w:t>砌块；</w:t>
            </w:r>
            <w:r>
              <w:rPr>
                <w:rFonts w:ascii="宋体" w:eastAsia="宋体" w:hAnsi="宋体"/>
                <w:color w:val="auto"/>
                <w:sz w:val="21"/>
                <w:szCs w:val="21"/>
              </w:rPr>
              <w:t>3</w:t>
            </w:r>
            <w:r>
              <w:rPr>
                <w:rFonts w:ascii="宋体" w:eastAsia="宋体" w:hAnsi="宋体" w:hint="eastAsia"/>
                <w:color w:val="auto"/>
                <w:sz w:val="21"/>
                <w:szCs w:val="21"/>
              </w:rPr>
              <w:t>-</w:t>
            </w:r>
            <w:r>
              <w:rPr>
                <w:rFonts w:ascii="宋体" w:eastAsia="宋体" w:hAnsi="宋体" w:hint="eastAsia"/>
                <w:color w:val="auto"/>
                <w:sz w:val="21"/>
                <w:szCs w:val="21"/>
              </w:rPr>
              <w:t>抹灰层</w:t>
            </w:r>
          </w:p>
        </w:tc>
        <w:tc>
          <w:tcPr>
            <w:tcW w:w="4148" w:type="dxa"/>
            <w:vAlign w:val="center"/>
          </w:tcPr>
          <w:p w14:paraId="46977856"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w:t>
            </w:r>
            <w:r>
              <w:rPr>
                <w:rFonts w:ascii="宋体" w:eastAsia="宋体" w:hAnsi="宋体" w:hint="eastAsia"/>
                <w:color w:val="auto"/>
                <w:sz w:val="21"/>
                <w:szCs w:val="21"/>
              </w:rPr>
              <w:t>混凝土条板；</w:t>
            </w:r>
            <w:r>
              <w:rPr>
                <w:rFonts w:ascii="宋体" w:eastAsia="宋体" w:hAnsi="宋体" w:hint="eastAsia"/>
                <w:color w:val="auto"/>
                <w:sz w:val="21"/>
                <w:szCs w:val="21"/>
              </w:rPr>
              <w:t>2-</w:t>
            </w:r>
            <w:r>
              <w:rPr>
                <w:rFonts w:ascii="宋体" w:eastAsia="宋体" w:hAnsi="宋体" w:hint="eastAsia"/>
                <w:color w:val="auto"/>
                <w:sz w:val="21"/>
                <w:szCs w:val="21"/>
              </w:rPr>
              <w:t>隔声保温填充层；</w:t>
            </w:r>
          </w:p>
          <w:p w14:paraId="3BF04D97"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3-</w:t>
            </w:r>
            <w:r>
              <w:rPr>
                <w:rFonts w:ascii="宋体" w:eastAsia="宋体" w:hAnsi="宋体" w:hint="eastAsia"/>
                <w:color w:val="auto"/>
                <w:sz w:val="21"/>
                <w:szCs w:val="21"/>
              </w:rPr>
              <w:t>龙骨层；</w:t>
            </w:r>
            <w:r>
              <w:rPr>
                <w:rFonts w:ascii="宋体" w:eastAsia="宋体" w:hAnsi="宋体" w:hint="eastAsia"/>
                <w:color w:val="auto"/>
                <w:sz w:val="21"/>
                <w:szCs w:val="21"/>
              </w:rPr>
              <w:t>4-</w:t>
            </w:r>
            <w:r>
              <w:rPr>
                <w:rFonts w:ascii="宋体" w:eastAsia="宋体" w:hAnsi="宋体" w:hint="eastAsia"/>
                <w:color w:val="auto"/>
                <w:sz w:val="21"/>
                <w:szCs w:val="21"/>
              </w:rPr>
              <w:t>面板层</w:t>
            </w:r>
          </w:p>
        </w:tc>
      </w:tr>
      <w:tr w:rsidR="00622EE7" w14:paraId="501116F1" w14:textId="77777777">
        <w:tc>
          <w:tcPr>
            <w:tcW w:w="4148" w:type="dxa"/>
            <w:vAlign w:val="center"/>
          </w:tcPr>
          <w:p w14:paraId="24817E4C" w14:textId="77777777" w:rsidR="00622EE7" w:rsidRDefault="00E60909">
            <w:pPr>
              <w:pStyle w:val="af5"/>
              <w:jc w:val="center"/>
              <w:rPr>
                <w:rFonts w:ascii="宋体" w:eastAsia="宋体" w:hAnsi="宋体"/>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w:t>
            </w:r>
            <w:r>
              <w:rPr>
                <w:rFonts w:ascii="宋体" w:eastAsia="宋体" w:hAnsi="宋体" w:hint="eastAsia"/>
                <w:color w:val="auto"/>
                <w:sz w:val="21"/>
                <w:szCs w:val="21"/>
              </w:rPr>
              <w:t>53dB</w:t>
            </w:r>
            <w:r>
              <w:rPr>
                <w:rFonts w:ascii="宋体" w:eastAsia="宋体" w:hAnsi="宋体" w:hint="eastAsia"/>
                <w:color w:val="auto"/>
                <w:sz w:val="21"/>
                <w:szCs w:val="21"/>
              </w:rPr>
              <w:t>双层复合装配式墙体构造</w:t>
            </w:r>
          </w:p>
        </w:tc>
        <w:tc>
          <w:tcPr>
            <w:tcW w:w="4148" w:type="dxa"/>
            <w:vAlign w:val="center"/>
          </w:tcPr>
          <w:p w14:paraId="16D6F8BD" w14:textId="77777777" w:rsidR="00622EE7" w:rsidRDefault="00E60909">
            <w:pPr>
              <w:pStyle w:val="af5"/>
              <w:jc w:val="center"/>
              <w:rPr>
                <w:rFonts w:ascii="宋体" w:eastAsia="宋体" w:hAnsi="宋体"/>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w:t>
            </w:r>
            <w:r>
              <w:rPr>
                <w:rFonts w:ascii="宋体" w:eastAsia="宋体" w:hAnsi="宋体" w:hint="eastAsia"/>
                <w:color w:val="auto"/>
                <w:sz w:val="21"/>
                <w:szCs w:val="21"/>
              </w:rPr>
              <w:t>55dB</w:t>
            </w:r>
            <w:r>
              <w:rPr>
                <w:rFonts w:ascii="宋体" w:eastAsia="宋体" w:hAnsi="宋体" w:hint="eastAsia"/>
                <w:color w:val="auto"/>
                <w:sz w:val="21"/>
                <w:szCs w:val="21"/>
              </w:rPr>
              <w:t>双层复合装配式墙体构造</w:t>
            </w:r>
          </w:p>
        </w:tc>
      </w:tr>
      <w:tr w:rsidR="00622EE7" w14:paraId="044916D2" w14:textId="77777777">
        <w:tc>
          <w:tcPr>
            <w:tcW w:w="4148" w:type="dxa"/>
            <w:vAlign w:val="center"/>
          </w:tcPr>
          <w:p w14:paraId="3AAA02CD"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78858881" wp14:editId="35D2C0F4">
                  <wp:extent cx="1494155" cy="6477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547206" cy="670624"/>
                          </a:xfrm>
                          <a:prstGeom prst="rect">
                            <a:avLst/>
                          </a:prstGeom>
                          <a:noFill/>
                          <a:ln>
                            <a:noFill/>
                          </a:ln>
                        </pic:spPr>
                      </pic:pic>
                    </a:graphicData>
                  </a:graphic>
                </wp:inline>
              </w:drawing>
            </w:r>
          </w:p>
        </w:tc>
        <w:tc>
          <w:tcPr>
            <w:tcW w:w="4148" w:type="dxa"/>
            <w:vAlign w:val="center"/>
          </w:tcPr>
          <w:p w14:paraId="273A57DA"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7141242F" wp14:editId="6B160D37">
                  <wp:extent cx="1680845" cy="78676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709470" cy="800163"/>
                          </a:xfrm>
                          <a:prstGeom prst="rect">
                            <a:avLst/>
                          </a:prstGeom>
                          <a:noFill/>
                          <a:ln>
                            <a:noFill/>
                          </a:ln>
                        </pic:spPr>
                      </pic:pic>
                    </a:graphicData>
                  </a:graphic>
                </wp:inline>
              </w:drawing>
            </w:r>
          </w:p>
        </w:tc>
      </w:tr>
      <w:tr w:rsidR="00622EE7" w14:paraId="52038C24" w14:textId="77777777">
        <w:tc>
          <w:tcPr>
            <w:tcW w:w="4148" w:type="dxa"/>
            <w:vAlign w:val="center"/>
          </w:tcPr>
          <w:p w14:paraId="02FD3ADA"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w:t>
            </w:r>
            <w:r>
              <w:rPr>
                <w:rFonts w:ascii="宋体" w:eastAsia="宋体" w:hAnsi="宋体" w:hint="eastAsia"/>
                <w:color w:val="auto"/>
                <w:sz w:val="21"/>
                <w:szCs w:val="21"/>
              </w:rPr>
              <w:t>混凝土条板；</w:t>
            </w:r>
            <w:r>
              <w:rPr>
                <w:rFonts w:ascii="宋体" w:eastAsia="宋体" w:hAnsi="宋体" w:hint="eastAsia"/>
                <w:color w:val="auto"/>
                <w:sz w:val="21"/>
                <w:szCs w:val="21"/>
              </w:rPr>
              <w:t>2-</w:t>
            </w:r>
            <w:r>
              <w:rPr>
                <w:rFonts w:ascii="宋体" w:eastAsia="宋体" w:hAnsi="宋体" w:hint="eastAsia"/>
                <w:color w:val="auto"/>
                <w:sz w:val="21"/>
                <w:szCs w:val="21"/>
              </w:rPr>
              <w:t>隔声保温填充层；</w:t>
            </w:r>
          </w:p>
          <w:p w14:paraId="47C77863" w14:textId="77777777" w:rsidR="00622EE7" w:rsidRDefault="00E60909">
            <w:pPr>
              <w:pStyle w:val="af5"/>
              <w:spacing w:line="240" w:lineRule="auto"/>
              <w:jc w:val="center"/>
              <w:rPr>
                <w:rFonts w:ascii="宋体" w:eastAsia="宋体" w:hAnsi="宋体"/>
                <w:b/>
                <w:color w:val="auto"/>
                <w:sz w:val="21"/>
                <w:szCs w:val="21"/>
              </w:rPr>
            </w:pPr>
            <w:r>
              <w:rPr>
                <w:rFonts w:ascii="宋体" w:eastAsia="宋体" w:hAnsi="宋体" w:hint="eastAsia"/>
                <w:color w:val="auto"/>
                <w:sz w:val="21"/>
                <w:szCs w:val="21"/>
              </w:rPr>
              <w:t>3-</w:t>
            </w:r>
            <w:r>
              <w:rPr>
                <w:rFonts w:ascii="宋体" w:eastAsia="宋体" w:hAnsi="宋体" w:hint="eastAsia"/>
                <w:color w:val="auto"/>
                <w:sz w:val="21"/>
                <w:szCs w:val="21"/>
              </w:rPr>
              <w:t>龙骨层；</w:t>
            </w:r>
            <w:r>
              <w:rPr>
                <w:rFonts w:ascii="宋体" w:eastAsia="宋体" w:hAnsi="宋体" w:hint="eastAsia"/>
                <w:color w:val="auto"/>
                <w:sz w:val="21"/>
                <w:szCs w:val="21"/>
              </w:rPr>
              <w:t>4-</w:t>
            </w:r>
            <w:r>
              <w:rPr>
                <w:rFonts w:ascii="宋体" w:eastAsia="宋体" w:hAnsi="宋体" w:hint="eastAsia"/>
                <w:color w:val="auto"/>
                <w:sz w:val="21"/>
                <w:szCs w:val="21"/>
              </w:rPr>
              <w:t>面板层</w:t>
            </w:r>
          </w:p>
        </w:tc>
        <w:tc>
          <w:tcPr>
            <w:tcW w:w="4148" w:type="dxa"/>
            <w:vAlign w:val="center"/>
          </w:tcPr>
          <w:p w14:paraId="4A625AD6"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w:t>
            </w:r>
            <w:r>
              <w:rPr>
                <w:rFonts w:ascii="宋体" w:eastAsia="宋体" w:hAnsi="宋体" w:hint="eastAsia"/>
                <w:color w:val="auto"/>
                <w:sz w:val="21"/>
                <w:szCs w:val="21"/>
              </w:rPr>
              <w:t>混凝土条板；</w:t>
            </w:r>
            <w:r>
              <w:rPr>
                <w:rFonts w:ascii="宋体" w:eastAsia="宋体" w:hAnsi="宋体" w:hint="eastAsia"/>
                <w:color w:val="auto"/>
                <w:sz w:val="21"/>
                <w:szCs w:val="21"/>
              </w:rPr>
              <w:t>2-</w:t>
            </w:r>
            <w:r>
              <w:rPr>
                <w:rFonts w:ascii="宋体" w:eastAsia="宋体" w:hAnsi="宋体" w:hint="eastAsia"/>
                <w:color w:val="auto"/>
                <w:sz w:val="21"/>
                <w:szCs w:val="21"/>
              </w:rPr>
              <w:t>隔声保温填充层；</w:t>
            </w:r>
          </w:p>
          <w:p w14:paraId="3A43B1AA" w14:textId="77777777" w:rsidR="00622EE7" w:rsidRDefault="00E60909">
            <w:pPr>
              <w:pStyle w:val="af5"/>
              <w:spacing w:line="240" w:lineRule="auto"/>
              <w:jc w:val="center"/>
              <w:rPr>
                <w:rFonts w:ascii="宋体" w:eastAsia="宋体" w:hAnsi="宋体"/>
                <w:b/>
                <w:color w:val="auto"/>
                <w:sz w:val="21"/>
                <w:szCs w:val="21"/>
              </w:rPr>
            </w:pPr>
            <w:r>
              <w:rPr>
                <w:rFonts w:ascii="宋体" w:eastAsia="宋体" w:hAnsi="宋体" w:hint="eastAsia"/>
                <w:color w:val="auto"/>
                <w:sz w:val="21"/>
                <w:szCs w:val="21"/>
              </w:rPr>
              <w:t>3-</w:t>
            </w:r>
            <w:r>
              <w:rPr>
                <w:rFonts w:ascii="宋体" w:eastAsia="宋体" w:hAnsi="宋体" w:hint="eastAsia"/>
                <w:color w:val="auto"/>
                <w:sz w:val="21"/>
                <w:szCs w:val="21"/>
              </w:rPr>
              <w:t>龙骨层；</w:t>
            </w:r>
            <w:r>
              <w:rPr>
                <w:rFonts w:ascii="宋体" w:eastAsia="宋体" w:hAnsi="宋体" w:hint="eastAsia"/>
                <w:color w:val="auto"/>
                <w:sz w:val="21"/>
                <w:szCs w:val="21"/>
              </w:rPr>
              <w:t>4-</w:t>
            </w:r>
            <w:r>
              <w:rPr>
                <w:rFonts w:ascii="宋体" w:eastAsia="宋体" w:hAnsi="宋体" w:hint="eastAsia"/>
                <w:color w:val="auto"/>
                <w:sz w:val="21"/>
                <w:szCs w:val="21"/>
              </w:rPr>
              <w:t>面板层</w:t>
            </w:r>
          </w:p>
        </w:tc>
      </w:tr>
    </w:tbl>
    <w:p w14:paraId="6D24228F" w14:textId="77777777" w:rsidR="00622EE7" w:rsidRDefault="00E60909">
      <w:pPr>
        <w:pStyle w:val="af3"/>
        <w:ind w:firstLineChars="0" w:firstLine="0"/>
        <w:jc w:val="center"/>
        <w:rPr>
          <w:rFonts w:ascii="宋体" w:hAnsi="宋体"/>
          <w:b/>
          <w:sz w:val="21"/>
          <w:szCs w:val="21"/>
        </w:rPr>
      </w:pPr>
      <w:r>
        <w:rPr>
          <w:rFonts w:ascii="宋体" w:hAnsi="宋体" w:hint="eastAsia"/>
          <w:b/>
          <w:sz w:val="21"/>
          <w:szCs w:val="21"/>
        </w:rPr>
        <w:t>图</w:t>
      </w:r>
      <w:r>
        <w:rPr>
          <w:rFonts w:ascii="宋体" w:hAnsi="宋体"/>
          <w:b/>
          <w:sz w:val="21"/>
          <w:szCs w:val="21"/>
        </w:rPr>
        <w:t xml:space="preserve">4 </w:t>
      </w:r>
      <w:r>
        <w:rPr>
          <w:rFonts w:ascii="宋体" w:hAnsi="宋体" w:hint="eastAsia"/>
          <w:b/>
          <w:sz w:val="21"/>
          <w:szCs w:val="21"/>
        </w:rPr>
        <w:t>分户墙隔声构造</w:t>
      </w:r>
    </w:p>
    <w:p w14:paraId="1E4EADD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8.1.7  </w:t>
      </w:r>
      <w:r>
        <w:rPr>
          <w:rFonts w:ascii="Times New Roman" w:eastAsia="宋体" w:hAnsi="Times New Roman" w:hint="eastAsia"/>
          <w:color w:val="auto"/>
        </w:rPr>
        <w:t>一般</w:t>
      </w:r>
      <w:r>
        <w:rPr>
          <w:rFonts w:ascii="Times New Roman" w:eastAsia="宋体" w:hAnsi="Times New Roman"/>
          <w:color w:val="auto"/>
        </w:rPr>
        <w:t>穿墙处套管内径比系统管道外径</w:t>
      </w:r>
      <w:proofErr w:type="gramStart"/>
      <w:r>
        <w:rPr>
          <w:rFonts w:ascii="Times New Roman" w:eastAsia="宋体" w:hAnsi="Times New Roman"/>
          <w:color w:val="auto"/>
        </w:rPr>
        <w:t>至少大</w:t>
      </w:r>
      <w:proofErr w:type="gramEnd"/>
      <w:r>
        <w:rPr>
          <w:rFonts w:ascii="Times New Roman" w:eastAsia="宋体" w:hAnsi="Times New Roman"/>
          <w:color w:val="auto"/>
        </w:rPr>
        <w:t>50mm</w:t>
      </w:r>
      <w:r>
        <w:rPr>
          <w:rFonts w:ascii="Times New Roman" w:eastAsia="宋体" w:hAnsi="Times New Roman"/>
          <w:color w:val="auto"/>
        </w:rPr>
        <w:t>，且填充材料厚度不应小于</w:t>
      </w:r>
      <w:r>
        <w:rPr>
          <w:rFonts w:ascii="Times New Roman" w:eastAsia="宋体" w:hAnsi="Times New Roman"/>
          <w:color w:val="auto"/>
        </w:rPr>
        <w:t>20mm</w:t>
      </w:r>
      <w:r>
        <w:rPr>
          <w:rFonts w:ascii="Times New Roman" w:eastAsia="宋体" w:hAnsi="Times New Roman"/>
          <w:color w:val="auto"/>
        </w:rPr>
        <w:t>，并应做好封堵处理。</w:t>
      </w:r>
    </w:p>
    <w:p w14:paraId="4B705F3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8.1.10  </w:t>
      </w:r>
      <w:r>
        <w:rPr>
          <w:rFonts w:ascii="Times New Roman" w:eastAsia="宋体" w:hAnsi="Times New Roman"/>
          <w:color w:val="auto"/>
        </w:rPr>
        <w:t>根据项目经验统计，外窗可按表</w:t>
      </w:r>
      <w:r>
        <w:rPr>
          <w:rFonts w:ascii="Times New Roman" w:eastAsia="宋体" w:hAnsi="Times New Roman"/>
          <w:color w:val="auto"/>
        </w:rPr>
        <w:t>1</w:t>
      </w:r>
      <w:r>
        <w:rPr>
          <w:rFonts w:ascii="Times New Roman" w:eastAsia="宋体" w:hAnsi="Times New Roman"/>
          <w:color w:val="auto"/>
        </w:rPr>
        <w:t>进行设计选型，在选型时开启形式可选用平</w:t>
      </w:r>
      <w:proofErr w:type="gramStart"/>
      <w:r>
        <w:rPr>
          <w:rFonts w:ascii="Times New Roman" w:eastAsia="宋体" w:hAnsi="Times New Roman"/>
          <w:color w:val="auto"/>
        </w:rPr>
        <w:t>开式</w:t>
      </w:r>
      <w:proofErr w:type="gramEnd"/>
      <w:r>
        <w:rPr>
          <w:rFonts w:ascii="Times New Roman" w:eastAsia="宋体" w:hAnsi="Times New Roman"/>
          <w:color w:val="auto"/>
        </w:rPr>
        <w:t>。</w:t>
      </w:r>
    </w:p>
    <w:p w14:paraId="31024EE0" w14:textId="77777777" w:rsidR="00622EE7" w:rsidRDefault="00E60909">
      <w:pPr>
        <w:widowControl/>
        <w:rPr>
          <w:rFonts w:ascii="Times New Roman" w:hAnsi="Times New Roman"/>
        </w:rPr>
      </w:pPr>
      <w:r>
        <w:rPr>
          <w:rFonts w:ascii="Times New Roman" w:hAnsi="Times New Roman"/>
        </w:rPr>
        <w:br w:type="page"/>
      </w:r>
    </w:p>
    <w:p w14:paraId="4098A531" w14:textId="77777777" w:rsidR="00622EE7" w:rsidRDefault="00E60909">
      <w:pPr>
        <w:pStyle w:val="af3"/>
        <w:spacing w:beforeLines="25" w:before="78"/>
        <w:ind w:left="425" w:firstLineChars="0" w:firstLine="0"/>
        <w:contextualSpacing/>
        <w:rPr>
          <w:rFonts w:ascii="宋体" w:hAnsi="宋体"/>
          <w:b/>
          <w:sz w:val="21"/>
        </w:rPr>
      </w:pPr>
      <w:r>
        <w:rPr>
          <w:rFonts w:ascii="宋体" w:hAnsi="宋体" w:hint="eastAsia"/>
          <w:b/>
          <w:sz w:val="21"/>
        </w:rPr>
        <w:lastRenderedPageBreak/>
        <w:t>表</w:t>
      </w:r>
      <w:r>
        <w:rPr>
          <w:rFonts w:ascii="宋体" w:hAnsi="宋体"/>
          <w:b/>
          <w:sz w:val="21"/>
        </w:rPr>
        <w:t xml:space="preserve">1  </w:t>
      </w:r>
      <w:r>
        <w:rPr>
          <w:rFonts w:ascii="宋体" w:hAnsi="宋体" w:hint="eastAsia"/>
          <w:b/>
          <w:sz w:val="21"/>
        </w:rPr>
        <w:t>外窗选型举例</w:t>
      </w:r>
    </w:p>
    <w:tbl>
      <w:tblPr>
        <w:tblStyle w:val="af0"/>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98"/>
        <w:gridCol w:w="4280"/>
        <w:gridCol w:w="1998"/>
      </w:tblGrid>
      <w:tr w:rsidR="00622EE7" w14:paraId="0E2C89C0" w14:textId="77777777">
        <w:tc>
          <w:tcPr>
            <w:tcW w:w="1207" w:type="pct"/>
            <w:vAlign w:val="center"/>
          </w:tcPr>
          <w:p w14:paraId="3B061D05" w14:textId="77777777" w:rsidR="00622EE7" w:rsidRDefault="00E60909">
            <w:pPr>
              <w:pStyle w:val="af3"/>
              <w:spacing w:beforeLines="25" w:before="78" w:line="240" w:lineRule="auto"/>
              <w:ind w:firstLineChars="0" w:firstLine="0"/>
              <w:contextualSpacing/>
              <w:rPr>
                <w:rFonts w:ascii="宋体" w:hAnsi="宋体"/>
                <w:sz w:val="21"/>
              </w:rPr>
            </w:pPr>
            <w:r>
              <w:rPr>
                <w:rFonts w:ascii="宋体" w:hAnsi="宋体" w:hint="eastAsia"/>
                <w:sz w:val="21"/>
              </w:rPr>
              <w:t>型材类型</w:t>
            </w:r>
          </w:p>
        </w:tc>
        <w:tc>
          <w:tcPr>
            <w:tcW w:w="2586" w:type="pct"/>
            <w:vAlign w:val="center"/>
          </w:tcPr>
          <w:p w14:paraId="749428F2" w14:textId="77777777" w:rsidR="00622EE7" w:rsidRDefault="00E60909">
            <w:pPr>
              <w:pStyle w:val="af3"/>
              <w:spacing w:beforeLines="25" w:before="78" w:line="240" w:lineRule="auto"/>
              <w:ind w:firstLineChars="0" w:firstLine="0"/>
              <w:contextualSpacing/>
              <w:rPr>
                <w:rFonts w:ascii="宋体" w:hAnsi="宋体"/>
                <w:sz w:val="21"/>
              </w:rPr>
            </w:pPr>
            <w:r>
              <w:rPr>
                <w:rFonts w:ascii="宋体" w:hAnsi="宋体" w:hint="eastAsia"/>
                <w:sz w:val="21"/>
              </w:rPr>
              <w:t>玻璃配置</w:t>
            </w:r>
          </w:p>
        </w:tc>
        <w:tc>
          <w:tcPr>
            <w:tcW w:w="1207" w:type="pct"/>
            <w:vAlign w:val="center"/>
          </w:tcPr>
          <w:p w14:paraId="72F3CDD6" w14:textId="77777777" w:rsidR="00622EE7" w:rsidRDefault="00E60909">
            <w:pPr>
              <w:pStyle w:val="af3"/>
              <w:spacing w:beforeLines="25" w:before="78" w:line="240" w:lineRule="auto"/>
              <w:ind w:firstLineChars="0" w:firstLine="0"/>
              <w:contextualSpacing/>
              <w:rPr>
                <w:rFonts w:ascii="宋体" w:hAnsi="宋体"/>
                <w:sz w:val="21"/>
              </w:rPr>
            </w:pPr>
            <w:proofErr w:type="spellStart"/>
            <w:r>
              <w:rPr>
                <w:rFonts w:ascii="宋体" w:hAnsi="宋体" w:hint="eastAsia"/>
                <w:i/>
                <w:sz w:val="21"/>
              </w:rPr>
              <w:t>R</w:t>
            </w:r>
            <w:r>
              <w:rPr>
                <w:rFonts w:ascii="宋体" w:hAnsi="宋体" w:hint="eastAsia"/>
                <w:sz w:val="21"/>
                <w:vertAlign w:val="subscript"/>
              </w:rPr>
              <w:t>w</w:t>
            </w:r>
            <w:r>
              <w:rPr>
                <w:rFonts w:ascii="宋体" w:hAnsi="宋体" w:hint="eastAsia"/>
                <w:sz w:val="21"/>
              </w:rPr>
              <w:t>+</w:t>
            </w:r>
            <w:r>
              <w:rPr>
                <w:rFonts w:ascii="宋体" w:hAnsi="宋体" w:hint="eastAsia"/>
                <w:i/>
                <w:sz w:val="21"/>
              </w:rPr>
              <w:t>C</w:t>
            </w:r>
            <w:r>
              <w:rPr>
                <w:rFonts w:ascii="宋体" w:hAnsi="宋体" w:hint="eastAsia"/>
                <w:sz w:val="21"/>
                <w:vertAlign w:val="subscript"/>
              </w:rPr>
              <w:t>tr</w:t>
            </w:r>
            <w:proofErr w:type="spellEnd"/>
            <w:r>
              <w:rPr>
                <w:rFonts w:ascii="宋体" w:hAnsi="宋体" w:hint="eastAsia"/>
                <w:sz w:val="21"/>
              </w:rPr>
              <w:t>隔声量（</w:t>
            </w:r>
            <w:r>
              <w:rPr>
                <w:rFonts w:ascii="宋体" w:hAnsi="宋体" w:hint="eastAsia"/>
                <w:sz w:val="21"/>
              </w:rPr>
              <w:t>dB</w:t>
            </w:r>
            <w:r>
              <w:rPr>
                <w:rFonts w:ascii="宋体" w:hAnsi="宋体" w:hint="eastAsia"/>
                <w:sz w:val="21"/>
              </w:rPr>
              <w:t>）参考值</w:t>
            </w:r>
          </w:p>
        </w:tc>
      </w:tr>
      <w:tr w:rsidR="00622EE7" w14:paraId="36C2F00D" w14:textId="77777777">
        <w:tc>
          <w:tcPr>
            <w:tcW w:w="1207" w:type="pct"/>
            <w:vAlign w:val="center"/>
          </w:tcPr>
          <w:p w14:paraId="5DAD39BB"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铝合金</w:t>
            </w:r>
          </w:p>
          <w:p w14:paraId="598C9080"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钢木复合等</w:t>
            </w:r>
          </w:p>
        </w:tc>
        <w:tc>
          <w:tcPr>
            <w:tcW w:w="2586" w:type="pct"/>
            <w:vAlign w:val="center"/>
          </w:tcPr>
          <w:p w14:paraId="009068FA" w14:textId="77777777" w:rsidR="00622EE7" w:rsidRDefault="00E60909">
            <w:pPr>
              <w:spacing w:beforeLines="25" w:before="78"/>
              <w:contextualSpacing/>
              <w:jc w:val="center"/>
              <w:rPr>
                <w:rFonts w:ascii="宋体" w:hAnsi="宋体"/>
                <w:sz w:val="21"/>
              </w:rPr>
            </w:pPr>
            <w:r>
              <w:rPr>
                <w:rFonts w:ascii="宋体" w:hAnsi="宋体" w:hint="eastAsia"/>
                <w:sz w:val="21"/>
              </w:rPr>
              <w:t>6+12A+6</w:t>
            </w:r>
            <w:r>
              <w:rPr>
                <w:rFonts w:ascii="宋体" w:hAnsi="宋体" w:hint="eastAsia"/>
                <w:sz w:val="21"/>
              </w:rPr>
              <w:t>（</w:t>
            </w:r>
            <w:proofErr w:type="gramStart"/>
            <w:r>
              <w:rPr>
                <w:rFonts w:ascii="宋体" w:hAnsi="宋体" w:hint="eastAsia"/>
                <w:sz w:val="21"/>
              </w:rPr>
              <w:t>中空暖边条</w:t>
            </w:r>
            <w:proofErr w:type="gramEnd"/>
            <w:r>
              <w:rPr>
                <w:rFonts w:ascii="宋体" w:hAnsi="宋体" w:hint="eastAsia"/>
                <w:sz w:val="21"/>
              </w:rPr>
              <w:t>）</w:t>
            </w:r>
          </w:p>
          <w:p w14:paraId="3F17F691" w14:textId="77777777" w:rsidR="00622EE7" w:rsidRDefault="00E60909">
            <w:pPr>
              <w:spacing w:beforeLines="25" w:before="78"/>
              <w:contextualSpacing/>
              <w:jc w:val="center"/>
              <w:rPr>
                <w:rFonts w:ascii="宋体" w:hAnsi="宋体"/>
                <w:sz w:val="21"/>
              </w:rPr>
            </w:pPr>
            <w:r>
              <w:rPr>
                <w:rFonts w:ascii="宋体" w:hAnsi="宋体" w:hint="eastAsia"/>
                <w:sz w:val="21"/>
              </w:rPr>
              <w:t>6+12A+10</w:t>
            </w:r>
            <w:r>
              <w:rPr>
                <w:rFonts w:ascii="宋体" w:hAnsi="宋体" w:hint="eastAsia"/>
                <w:sz w:val="21"/>
              </w:rPr>
              <w:t>（</w:t>
            </w:r>
            <w:proofErr w:type="gramStart"/>
            <w:r>
              <w:rPr>
                <w:rFonts w:ascii="宋体" w:hAnsi="宋体" w:hint="eastAsia"/>
                <w:sz w:val="21"/>
              </w:rPr>
              <w:t>中空冷边条</w:t>
            </w:r>
            <w:proofErr w:type="gramEnd"/>
            <w:r>
              <w:rPr>
                <w:rFonts w:ascii="宋体" w:hAnsi="宋体" w:hint="eastAsia"/>
                <w:sz w:val="21"/>
              </w:rPr>
              <w:t>）</w:t>
            </w:r>
          </w:p>
          <w:p w14:paraId="155AF7EA" w14:textId="77777777" w:rsidR="00622EE7" w:rsidRDefault="00E60909">
            <w:pPr>
              <w:spacing w:beforeLines="25" w:before="78"/>
              <w:contextualSpacing/>
              <w:jc w:val="center"/>
              <w:rPr>
                <w:rFonts w:ascii="宋体" w:hAnsi="宋体"/>
                <w:sz w:val="21"/>
              </w:rPr>
            </w:pPr>
            <w:r>
              <w:rPr>
                <w:rFonts w:ascii="宋体" w:hAnsi="宋体" w:hint="eastAsia"/>
                <w:sz w:val="21"/>
              </w:rPr>
              <w:t>6+0.76PVB+8</w:t>
            </w:r>
            <w:r>
              <w:rPr>
                <w:rFonts w:ascii="宋体" w:hAnsi="宋体" w:hint="eastAsia"/>
                <w:sz w:val="21"/>
              </w:rPr>
              <w:t>（夹层玻璃）</w:t>
            </w:r>
          </w:p>
          <w:p w14:paraId="5DE585C7" w14:textId="77777777" w:rsidR="00622EE7" w:rsidRDefault="00E60909">
            <w:pPr>
              <w:spacing w:beforeLines="25" w:before="78"/>
              <w:contextualSpacing/>
              <w:jc w:val="center"/>
              <w:rPr>
                <w:rFonts w:ascii="宋体" w:hAnsi="宋体"/>
                <w:sz w:val="21"/>
              </w:rPr>
            </w:pPr>
            <w:r>
              <w:rPr>
                <w:rFonts w:ascii="宋体" w:hAnsi="宋体" w:hint="eastAsia"/>
                <w:sz w:val="21"/>
              </w:rPr>
              <w:t>5+9A+</w:t>
            </w:r>
            <w:r>
              <w:rPr>
                <w:rFonts w:ascii="宋体" w:hAnsi="宋体" w:hint="eastAsia"/>
                <w:sz w:val="21"/>
              </w:rPr>
              <w:t>（</w:t>
            </w:r>
            <w:r>
              <w:rPr>
                <w:rFonts w:ascii="宋体" w:hAnsi="宋体" w:hint="eastAsia"/>
                <w:sz w:val="21"/>
              </w:rPr>
              <w:t>5+0.38PVB+5</w:t>
            </w:r>
            <w:r>
              <w:rPr>
                <w:rFonts w:ascii="宋体" w:hAnsi="宋体" w:hint="eastAsia"/>
                <w:sz w:val="21"/>
              </w:rPr>
              <w:t>）（夹层中空玻璃）</w:t>
            </w:r>
          </w:p>
        </w:tc>
        <w:tc>
          <w:tcPr>
            <w:tcW w:w="1207" w:type="pct"/>
            <w:vAlign w:val="center"/>
          </w:tcPr>
          <w:p w14:paraId="4949FEDB"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30</w:t>
            </w:r>
          </w:p>
        </w:tc>
      </w:tr>
      <w:tr w:rsidR="00622EE7" w14:paraId="76D448A0" w14:textId="77777777">
        <w:tc>
          <w:tcPr>
            <w:tcW w:w="1207" w:type="pct"/>
            <w:vAlign w:val="center"/>
          </w:tcPr>
          <w:p w14:paraId="6F7FEA0D"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铝合金</w:t>
            </w:r>
          </w:p>
          <w:p w14:paraId="1942F1EE"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玻纤增强聚氨酯等</w:t>
            </w:r>
          </w:p>
        </w:tc>
        <w:tc>
          <w:tcPr>
            <w:tcW w:w="2586" w:type="pct"/>
            <w:vAlign w:val="center"/>
          </w:tcPr>
          <w:p w14:paraId="3847FF05" w14:textId="77777777" w:rsidR="00622EE7" w:rsidRDefault="00E60909">
            <w:pPr>
              <w:spacing w:beforeLines="25" w:before="78"/>
              <w:contextualSpacing/>
              <w:jc w:val="center"/>
              <w:rPr>
                <w:rFonts w:ascii="宋体" w:hAnsi="宋体"/>
                <w:sz w:val="21"/>
              </w:rPr>
            </w:pPr>
            <w:r>
              <w:rPr>
                <w:rFonts w:ascii="宋体" w:hAnsi="宋体" w:hint="eastAsia"/>
                <w:sz w:val="21"/>
              </w:rPr>
              <w:t>5+12A+4+12A+4+12A+5</w:t>
            </w:r>
            <w:r>
              <w:rPr>
                <w:rFonts w:ascii="宋体" w:hAnsi="宋体" w:hint="eastAsia"/>
                <w:sz w:val="21"/>
              </w:rPr>
              <w:t>（</w:t>
            </w:r>
            <w:proofErr w:type="gramStart"/>
            <w:r>
              <w:rPr>
                <w:rFonts w:ascii="宋体" w:hAnsi="宋体" w:hint="eastAsia"/>
                <w:sz w:val="21"/>
              </w:rPr>
              <w:t>中空暖边条</w:t>
            </w:r>
            <w:proofErr w:type="gramEnd"/>
            <w:r>
              <w:rPr>
                <w:rFonts w:ascii="宋体" w:hAnsi="宋体" w:hint="eastAsia"/>
                <w:sz w:val="21"/>
              </w:rPr>
              <w:t>）</w:t>
            </w:r>
          </w:p>
          <w:p w14:paraId="3D0F2833" w14:textId="77777777" w:rsidR="00622EE7" w:rsidRDefault="00E60909">
            <w:pPr>
              <w:spacing w:beforeLines="25" w:before="78"/>
              <w:contextualSpacing/>
              <w:jc w:val="center"/>
              <w:rPr>
                <w:rFonts w:ascii="宋体" w:hAnsi="宋体"/>
                <w:sz w:val="21"/>
              </w:rPr>
            </w:pPr>
            <w:r>
              <w:rPr>
                <w:rFonts w:ascii="宋体" w:hAnsi="宋体" w:hint="eastAsia"/>
                <w:sz w:val="21"/>
              </w:rPr>
              <w:t>（</w:t>
            </w:r>
            <w:r>
              <w:rPr>
                <w:rFonts w:ascii="宋体" w:hAnsi="宋体" w:hint="eastAsia"/>
                <w:sz w:val="21"/>
              </w:rPr>
              <w:t>5+1.14PVB+4</w:t>
            </w:r>
            <w:r>
              <w:rPr>
                <w:rFonts w:ascii="宋体" w:hAnsi="宋体" w:hint="eastAsia"/>
                <w:sz w:val="21"/>
              </w:rPr>
              <w:t>）</w:t>
            </w:r>
            <w:r>
              <w:rPr>
                <w:rFonts w:ascii="宋体" w:hAnsi="宋体" w:hint="eastAsia"/>
                <w:sz w:val="21"/>
              </w:rPr>
              <w:t>+25A+8</w:t>
            </w:r>
            <w:r>
              <w:rPr>
                <w:rFonts w:ascii="宋体" w:hAnsi="宋体" w:hint="eastAsia"/>
                <w:sz w:val="21"/>
              </w:rPr>
              <w:t>（夹层中空玻璃）</w:t>
            </w:r>
          </w:p>
        </w:tc>
        <w:tc>
          <w:tcPr>
            <w:tcW w:w="1207" w:type="pct"/>
            <w:vAlign w:val="center"/>
          </w:tcPr>
          <w:p w14:paraId="09860E03"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35</w:t>
            </w:r>
          </w:p>
        </w:tc>
      </w:tr>
      <w:tr w:rsidR="00622EE7" w14:paraId="29C572A5" w14:textId="77777777">
        <w:tc>
          <w:tcPr>
            <w:tcW w:w="1207" w:type="pct"/>
            <w:vAlign w:val="center"/>
          </w:tcPr>
          <w:p w14:paraId="48F32387"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铝合金</w:t>
            </w:r>
          </w:p>
          <w:p w14:paraId="32A6C032"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玻纤增强聚氨酯等</w:t>
            </w:r>
          </w:p>
        </w:tc>
        <w:tc>
          <w:tcPr>
            <w:tcW w:w="2586" w:type="pct"/>
            <w:vAlign w:val="center"/>
          </w:tcPr>
          <w:p w14:paraId="422802F3" w14:textId="77777777" w:rsidR="00622EE7" w:rsidRDefault="00E60909">
            <w:pPr>
              <w:spacing w:beforeLines="25" w:before="78"/>
              <w:contextualSpacing/>
              <w:jc w:val="center"/>
              <w:rPr>
                <w:rFonts w:ascii="宋体" w:hAnsi="宋体"/>
                <w:sz w:val="21"/>
              </w:rPr>
            </w:pPr>
            <w:r>
              <w:rPr>
                <w:rFonts w:ascii="宋体" w:hAnsi="宋体" w:hint="eastAsia"/>
                <w:sz w:val="21"/>
              </w:rPr>
              <w:t>（</w:t>
            </w:r>
            <w:r>
              <w:rPr>
                <w:rFonts w:ascii="宋体" w:hAnsi="宋体" w:hint="eastAsia"/>
                <w:sz w:val="21"/>
              </w:rPr>
              <w:t>5+1.14PVB+4</w:t>
            </w:r>
            <w:r>
              <w:rPr>
                <w:rFonts w:ascii="宋体" w:hAnsi="宋体" w:hint="eastAsia"/>
                <w:sz w:val="21"/>
              </w:rPr>
              <w:t>）</w:t>
            </w:r>
            <w:r>
              <w:rPr>
                <w:rFonts w:ascii="宋体" w:hAnsi="宋体" w:hint="eastAsia"/>
                <w:sz w:val="21"/>
              </w:rPr>
              <w:t>+12A+5+12A+5</w:t>
            </w:r>
          </w:p>
          <w:p w14:paraId="1405F461" w14:textId="77777777" w:rsidR="00622EE7" w:rsidRDefault="00E60909">
            <w:pPr>
              <w:spacing w:beforeLines="25" w:before="78"/>
              <w:contextualSpacing/>
              <w:jc w:val="center"/>
              <w:rPr>
                <w:rFonts w:ascii="宋体" w:hAnsi="宋体"/>
                <w:sz w:val="21"/>
              </w:rPr>
            </w:pPr>
            <w:r>
              <w:rPr>
                <w:rFonts w:ascii="宋体" w:hAnsi="宋体" w:hint="eastAsia"/>
                <w:sz w:val="21"/>
              </w:rPr>
              <w:t>（夹层中空玻璃）</w:t>
            </w:r>
          </w:p>
        </w:tc>
        <w:tc>
          <w:tcPr>
            <w:tcW w:w="1207" w:type="pct"/>
            <w:vAlign w:val="center"/>
          </w:tcPr>
          <w:p w14:paraId="437CE762"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40</w:t>
            </w:r>
          </w:p>
        </w:tc>
      </w:tr>
    </w:tbl>
    <w:p w14:paraId="16CBE7D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8.1.14 </w:t>
      </w:r>
      <w:r>
        <w:rPr>
          <w:rFonts w:ascii="Times New Roman" w:eastAsia="宋体" w:hAnsi="Times New Roman"/>
          <w:color w:val="auto"/>
        </w:rPr>
        <w:t xml:space="preserve"> </w:t>
      </w:r>
      <w:proofErr w:type="gramStart"/>
      <w:r>
        <w:rPr>
          <w:rFonts w:ascii="Times New Roman" w:eastAsia="宋体" w:hAnsi="Times New Roman"/>
          <w:color w:val="auto"/>
        </w:rPr>
        <w:t>浮筑楼板</w:t>
      </w:r>
      <w:proofErr w:type="gramEnd"/>
      <w:r>
        <w:rPr>
          <w:rFonts w:ascii="Times New Roman" w:eastAsia="宋体" w:hAnsi="Times New Roman"/>
          <w:color w:val="auto"/>
        </w:rPr>
        <w:t>隔声保温构造可</w:t>
      </w:r>
      <w:r>
        <w:rPr>
          <w:rFonts w:ascii="Times New Roman" w:eastAsia="宋体" w:hAnsi="Times New Roman" w:hint="eastAsia"/>
          <w:color w:val="auto"/>
        </w:rPr>
        <w:t>参照</w:t>
      </w:r>
      <w:r>
        <w:rPr>
          <w:rFonts w:ascii="Times New Roman" w:eastAsia="宋体" w:hAnsi="Times New Roman"/>
          <w:color w:val="auto"/>
        </w:rPr>
        <w:t>表</w:t>
      </w:r>
      <w:r>
        <w:rPr>
          <w:rFonts w:ascii="Times New Roman" w:eastAsia="宋体" w:hAnsi="Times New Roman"/>
          <w:color w:val="auto"/>
        </w:rPr>
        <w:t>2</w:t>
      </w:r>
      <w:r>
        <w:rPr>
          <w:rFonts w:ascii="Times New Roman" w:eastAsia="宋体" w:hAnsi="Times New Roman"/>
          <w:color w:val="auto"/>
        </w:rPr>
        <w:t>进行设计选型。</w:t>
      </w:r>
    </w:p>
    <w:p w14:paraId="27897939" w14:textId="77777777" w:rsidR="00622EE7" w:rsidRDefault="00E60909">
      <w:pPr>
        <w:spacing w:beforeLines="25" w:before="78"/>
        <w:contextualSpacing/>
        <w:jc w:val="center"/>
        <w:rPr>
          <w:rFonts w:ascii="宋体" w:hAnsi="宋体"/>
          <w:b/>
          <w:sz w:val="21"/>
          <w:szCs w:val="21"/>
        </w:rPr>
      </w:pPr>
      <w:r>
        <w:rPr>
          <w:rFonts w:ascii="宋体" w:hAnsi="宋体" w:hint="eastAsia"/>
          <w:b/>
          <w:sz w:val="21"/>
          <w:szCs w:val="21"/>
        </w:rPr>
        <w:t>表</w:t>
      </w:r>
      <w:r>
        <w:rPr>
          <w:rFonts w:ascii="宋体" w:hAnsi="宋体"/>
          <w:b/>
          <w:sz w:val="21"/>
          <w:szCs w:val="21"/>
        </w:rPr>
        <w:t xml:space="preserve">2  </w:t>
      </w:r>
      <w:proofErr w:type="gramStart"/>
      <w:r>
        <w:rPr>
          <w:rFonts w:ascii="宋体" w:hAnsi="宋体" w:hint="eastAsia"/>
          <w:b/>
          <w:sz w:val="21"/>
          <w:szCs w:val="21"/>
        </w:rPr>
        <w:t>浮筑楼板</w:t>
      </w:r>
      <w:proofErr w:type="gramEnd"/>
      <w:r>
        <w:rPr>
          <w:rFonts w:ascii="宋体" w:hAnsi="宋体" w:hint="eastAsia"/>
          <w:b/>
          <w:sz w:val="21"/>
          <w:szCs w:val="21"/>
        </w:rPr>
        <w:t>选型</w:t>
      </w:r>
    </w:p>
    <w:tbl>
      <w:tblPr>
        <w:tblStyle w:val="af0"/>
        <w:tblW w:w="8549"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56"/>
        <w:gridCol w:w="3336"/>
        <w:gridCol w:w="1657"/>
      </w:tblGrid>
      <w:tr w:rsidR="00622EE7" w14:paraId="16E377DE" w14:textId="77777777">
        <w:trPr>
          <w:tblHeader/>
        </w:trPr>
        <w:tc>
          <w:tcPr>
            <w:tcW w:w="6892" w:type="dxa"/>
            <w:gridSpan w:val="2"/>
            <w:vAlign w:val="center"/>
          </w:tcPr>
          <w:p w14:paraId="5FFC44F0" w14:textId="77777777" w:rsidR="00622EE7" w:rsidRDefault="00E60909">
            <w:pPr>
              <w:spacing w:beforeLines="25" w:before="78"/>
              <w:contextualSpacing/>
              <w:jc w:val="center"/>
              <w:rPr>
                <w:rFonts w:ascii="宋体" w:hAnsi="宋体"/>
                <w:sz w:val="21"/>
                <w:szCs w:val="21"/>
              </w:rPr>
            </w:pPr>
            <w:r>
              <w:rPr>
                <w:rFonts w:ascii="宋体" w:hAnsi="宋体" w:hint="eastAsia"/>
                <w:sz w:val="21"/>
                <w:szCs w:val="21"/>
              </w:rPr>
              <w:t>楼板构造示意</w:t>
            </w:r>
          </w:p>
        </w:tc>
        <w:tc>
          <w:tcPr>
            <w:tcW w:w="1657" w:type="dxa"/>
            <w:vAlign w:val="center"/>
          </w:tcPr>
          <w:p w14:paraId="6BEDA518" w14:textId="77777777" w:rsidR="00622EE7" w:rsidRDefault="00E60909">
            <w:pPr>
              <w:pStyle w:val="af3"/>
              <w:spacing w:beforeLines="25" w:before="78" w:line="240" w:lineRule="auto"/>
              <w:ind w:firstLineChars="0" w:firstLine="0"/>
              <w:contextualSpacing/>
              <w:jc w:val="center"/>
              <w:rPr>
                <w:rFonts w:ascii="宋体" w:hAnsi="宋体"/>
                <w:sz w:val="21"/>
                <w:szCs w:val="21"/>
              </w:rPr>
            </w:pPr>
            <w:proofErr w:type="spellStart"/>
            <w:r>
              <w:rPr>
                <w:rFonts w:ascii="宋体" w:hAnsi="宋体"/>
                <w:i/>
                <w:sz w:val="21"/>
                <w:szCs w:val="21"/>
              </w:rPr>
              <w:t>L</w:t>
            </w:r>
            <w:r>
              <w:rPr>
                <w:rFonts w:ascii="宋体" w:hAnsi="宋体"/>
                <w:i/>
                <w:sz w:val="21"/>
                <w:szCs w:val="21"/>
                <w:vertAlign w:val="subscript"/>
              </w:rPr>
              <w:t>n,w</w:t>
            </w:r>
            <w:proofErr w:type="spellEnd"/>
            <w:r>
              <w:rPr>
                <w:rFonts w:ascii="宋体" w:hAnsi="宋体" w:hint="eastAsia"/>
                <w:sz w:val="21"/>
                <w:szCs w:val="21"/>
              </w:rPr>
              <w:t>隔声量参考值（</w:t>
            </w:r>
            <w:r>
              <w:rPr>
                <w:rFonts w:ascii="宋体" w:hAnsi="宋体"/>
                <w:sz w:val="21"/>
                <w:szCs w:val="21"/>
              </w:rPr>
              <w:t>dB</w:t>
            </w:r>
            <w:r>
              <w:rPr>
                <w:rFonts w:ascii="宋体" w:hAnsi="宋体" w:hint="eastAsia"/>
                <w:sz w:val="21"/>
                <w:szCs w:val="21"/>
              </w:rPr>
              <w:t>）</w:t>
            </w:r>
          </w:p>
        </w:tc>
      </w:tr>
      <w:tr w:rsidR="00622EE7" w14:paraId="36B386A5" w14:textId="77777777">
        <w:tc>
          <w:tcPr>
            <w:tcW w:w="3556" w:type="dxa"/>
            <w:vAlign w:val="center"/>
          </w:tcPr>
          <w:p w14:paraId="2F7A33BA"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4805F7C8" wp14:editId="27FF96CA">
                  <wp:extent cx="1511300" cy="10375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511300" cy="1037590"/>
                          </a:xfrm>
                          <a:prstGeom prst="rect">
                            <a:avLst/>
                          </a:prstGeom>
                          <a:noFill/>
                          <a:ln>
                            <a:noFill/>
                          </a:ln>
                        </pic:spPr>
                      </pic:pic>
                    </a:graphicData>
                  </a:graphic>
                </wp:inline>
              </w:drawing>
            </w:r>
          </w:p>
        </w:tc>
        <w:tc>
          <w:tcPr>
            <w:tcW w:w="3336" w:type="dxa"/>
            <w:vAlign w:val="center"/>
          </w:tcPr>
          <w:p w14:paraId="7E1F2342"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134882C6" wp14:editId="5FCDB307">
                  <wp:extent cx="1433195" cy="103759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433195" cy="1037590"/>
                          </a:xfrm>
                          <a:prstGeom prst="rect">
                            <a:avLst/>
                          </a:prstGeom>
                          <a:noFill/>
                          <a:ln>
                            <a:noFill/>
                          </a:ln>
                        </pic:spPr>
                      </pic:pic>
                    </a:graphicData>
                  </a:graphic>
                </wp:inline>
              </w:drawing>
            </w:r>
          </w:p>
        </w:tc>
        <w:tc>
          <w:tcPr>
            <w:tcW w:w="1657" w:type="dxa"/>
            <w:vMerge w:val="restart"/>
            <w:vAlign w:val="center"/>
          </w:tcPr>
          <w:p w14:paraId="0B98A021" w14:textId="77777777" w:rsidR="00622EE7" w:rsidRDefault="00E60909">
            <w:pPr>
              <w:pStyle w:val="af3"/>
              <w:spacing w:beforeLines="25" w:before="78" w:line="240" w:lineRule="auto"/>
              <w:ind w:firstLineChars="0" w:firstLine="0"/>
              <w:contextualSpacing/>
              <w:jc w:val="center"/>
              <w:rPr>
                <w:rFonts w:ascii="宋体" w:hAnsi="宋体"/>
                <w:sz w:val="21"/>
                <w:szCs w:val="21"/>
              </w:rPr>
            </w:pPr>
            <w:r>
              <w:rPr>
                <w:rFonts w:ascii="宋体" w:hAnsi="宋体" w:hint="eastAsia"/>
                <w:sz w:val="21"/>
                <w:szCs w:val="21"/>
              </w:rPr>
              <w:t>＜</w:t>
            </w:r>
            <w:r>
              <w:rPr>
                <w:rFonts w:ascii="宋体" w:hAnsi="宋体"/>
                <w:sz w:val="21"/>
                <w:szCs w:val="21"/>
              </w:rPr>
              <w:t xml:space="preserve">65 </w:t>
            </w:r>
          </w:p>
          <w:p w14:paraId="7943BCEB" w14:textId="77777777" w:rsidR="00622EE7" w:rsidRDefault="00622EE7">
            <w:pPr>
              <w:pStyle w:val="af3"/>
              <w:spacing w:beforeLines="25" w:before="78" w:line="240" w:lineRule="auto"/>
              <w:contextualSpacing/>
              <w:jc w:val="center"/>
              <w:rPr>
                <w:rFonts w:ascii="宋体" w:hAnsi="宋体"/>
                <w:sz w:val="21"/>
                <w:szCs w:val="21"/>
              </w:rPr>
            </w:pPr>
          </w:p>
        </w:tc>
      </w:tr>
      <w:tr w:rsidR="00622EE7" w14:paraId="619ACB54" w14:textId="77777777">
        <w:tc>
          <w:tcPr>
            <w:tcW w:w="3556" w:type="dxa"/>
            <w:vAlign w:val="center"/>
          </w:tcPr>
          <w:p w14:paraId="20414AC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03DE57D0"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03DB7DC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8mm</w:t>
            </w:r>
            <w:r>
              <w:rPr>
                <w:rFonts w:ascii="宋体" w:hAnsi="宋体" w:hint="eastAsia"/>
                <w:sz w:val="21"/>
                <w:szCs w:val="21"/>
              </w:rPr>
              <w:t>厚隔声垫</w:t>
            </w:r>
          </w:p>
          <w:p w14:paraId="16755CD7"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2F776F4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3336" w:type="dxa"/>
            <w:vAlign w:val="center"/>
          </w:tcPr>
          <w:p w14:paraId="13F417F0"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1647075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3DF0599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15mm</w:t>
            </w:r>
            <w:r>
              <w:rPr>
                <w:rFonts w:ascii="宋体" w:hAnsi="宋体" w:hint="eastAsia"/>
                <w:sz w:val="21"/>
                <w:szCs w:val="21"/>
              </w:rPr>
              <w:t>厚石墨聚苯乙烯隔声垫</w:t>
            </w:r>
          </w:p>
          <w:p w14:paraId="48A99AF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2DAA0C6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0" w:type="auto"/>
            <w:vMerge/>
            <w:vAlign w:val="center"/>
          </w:tcPr>
          <w:p w14:paraId="6FA9D69A" w14:textId="77777777" w:rsidR="00622EE7" w:rsidRDefault="00622EE7">
            <w:pPr>
              <w:pStyle w:val="af3"/>
              <w:spacing w:beforeLines="25" w:before="78" w:line="240" w:lineRule="auto"/>
              <w:contextualSpacing/>
              <w:jc w:val="center"/>
              <w:rPr>
                <w:rFonts w:ascii="宋体" w:hAnsi="宋体"/>
                <w:sz w:val="21"/>
                <w:szCs w:val="21"/>
              </w:rPr>
            </w:pPr>
          </w:p>
        </w:tc>
      </w:tr>
      <w:tr w:rsidR="00622EE7" w14:paraId="26DA9B25" w14:textId="77777777">
        <w:tc>
          <w:tcPr>
            <w:tcW w:w="3556" w:type="dxa"/>
            <w:vAlign w:val="center"/>
          </w:tcPr>
          <w:p w14:paraId="0A773940"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715A1039" wp14:editId="272D3E24">
                  <wp:extent cx="1437005" cy="10375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7118" cy="1037590"/>
                          </a:xfrm>
                          <a:prstGeom prst="rect">
                            <a:avLst/>
                          </a:prstGeom>
                        </pic:spPr>
                      </pic:pic>
                    </a:graphicData>
                  </a:graphic>
                </wp:inline>
              </w:drawing>
            </w:r>
          </w:p>
        </w:tc>
        <w:tc>
          <w:tcPr>
            <w:tcW w:w="3336" w:type="dxa"/>
            <w:vAlign w:val="center"/>
          </w:tcPr>
          <w:p w14:paraId="1ADBF6A9"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0DB5A00E" wp14:editId="0BC9FCAD">
                  <wp:extent cx="1297305" cy="112839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297305" cy="1128395"/>
                          </a:xfrm>
                          <a:prstGeom prst="rect">
                            <a:avLst/>
                          </a:prstGeom>
                          <a:noFill/>
                          <a:ln>
                            <a:noFill/>
                          </a:ln>
                        </pic:spPr>
                      </pic:pic>
                    </a:graphicData>
                  </a:graphic>
                </wp:inline>
              </w:drawing>
            </w:r>
          </w:p>
        </w:tc>
        <w:tc>
          <w:tcPr>
            <w:tcW w:w="1657" w:type="dxa"/>
            <w:vMerge/>
            <w:vAlign w:val="center"/>
          </w:tcPr>
          <w:p w14:paraId="039283E5" w14:textId="77777777" w:rsidR="00622EE7" w:rsidRDefault="00622EE7">
            <w:pPr>
              <w:pStyle w:val="af3"/>
              <w:spacing w:beforeLines="25" w:before="78" w:line="240" w:lineRule="auto"/>
              <w:ind w:firstLineChars="0" w:firstLine="0"/>
              <w:contextualSpacing/>
              <w:jc w:val="center"/>
              <w:rPr>
                <w:rFonts w:ascii="宋体" w:hAnsi="宋体"/>
                <w:sz w:val="21"/>
                <w:szCs w:val="21"/>
              </w:rPr>
            </w:pPr>
          </w:p>
        </w:tc>
      </w:tr>
      <w:tr w:rsidR="00622EE7" w14:paraId="31F9DD00" w14:textId="77777777">
        <w:tc>
          <w:tcPr>
            <w:tcW w:w="3556" w:type="dxa"/>
            <w:vAlign w:val="center"/>
          </w:tcPr>
          <w:p w14:paraId="2B7EA1B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340E1FE7"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1CEAAC8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20</w:t>
            </w:r>
            <w:r>
              <w:rPr>
                <w:rFonts w:ascii="宋体" w:hAnsi="宋体" w:hint="eastAsia"/>
                <w:sz w:val="21"/>
                <w:szCs w:val="21"/>
              </w:rPr>
              <w:t>（</w:t>
            </w:r>
            <w:r>
              <w:rPr>
                <w:rFonts w:ascii="宋体" w:hAnsi="宋体" w:hint="eastAsia"/>
                <w:sz w:val="21"/>
                <w:szCs w:val="21"/>
              </w:rPr>
              <w:t>1</w:t>
            </w:r>
            <w:r>
              <w:rPr>
                <w:rFonts w:ascii="宋体" w:hAnsi="宋体"/>
                <w:sz w:val="21"/>
                <w:szCs w:val="21"/>
              </w:rPr>
              <w:t>5+5</w:t>
            </w:r>
            <w:r>
              <w:rPr>
                <w:rFonts w:ascii="宋体" w:hAnsi="宋体" w:hint="eastAsia"/>
                <w:sz w:val="21"/>
                <w:szCs w:val="21"/>
              </w:rPr>
              <w:t>）</w:t>
            </w:r>
            <w:r>
              <w:rPr>
                <w:rFonts w:ascii="宋体" w:hAnsi="宋体"/>
                <w:sz w:val="21"/>
                <w:szCs w:val="21"/>
              </w:rPr>
              <w:t>mm</w:t>
            </w:r>
            <w:r>
              <w:rPr>
                <w:rFonts w:ascii="宋体" w:hAnsi="宋体" w:hint="eastAsia"/>
                <w:sz w:val="21"/>
                <w:szCs w:val="21"/>
              </w:rPr>
              <w:t>厚复合隔声垫</w:t>
            </w:r>
          </w:p>
          <w:p w14:paraId="71E94EB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1E7DD1F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3336" w:type="dxa"/>
            <w:vAlign w:val="center"/>
          </w:tcPr>
          <w:p w14:paraId="5BECEAF0"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2AFDDCD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680E1445"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hint="eastAsia"/>
                <w:sz w:val="21"/>
                <w:szCs w:val="21"/>
              </w:rPr>
              <w:t>铝箔（</w:t>
            </w:r>
            <w:proofErr w:type="gramStart"/>
            <w:r>
              <w:rPr>
                <w:rFonts w:ascii="宋体" w:hAnsi="宋体" w:hint="eastAsia"/>
                <w:sz w:val="21"/>
                <w:szCs w:val="21"/>
              </w:rPr>
              <w:t>水暖管固定</w:t>
            </w:r>
            <w:proofErr w:type="gramEnd"/>
            <w:r>
              <w:rPr>
                <w:rFonts w:ascii="宋体" w:hAnsi="宋体" w:hint="eastAsia"/>
                <w:sz w:val="21"/>
                <w:szCs w:val="21"/>
              </w:rPr>
              <w:t>于上侧）</w:t>
            </w:r>
          </w:p>
          <w:p w14:paraId="7F2C980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20mm</w:t>
            </w:r>
            <w:r>
              <w:rPr>
                <w:rFonts w:ascii="宋体" w:hAnsi="宋体" w:hint="eastAsia"/>
                <w:sz w:val="21"/>
                <w:szCs w:val="21"/>
              </w:rPr>
              <w:t>厚</w:t>
            </w:r>
            <w:r>
              <w:rPr>
                <w:rFonts w:ascii="宋体" w:hAnsi="宋体"/>
                <w:sz w:val="21"/>
                <w:szCs w:val="21"/>
              </w:rPr>
              <w:t>XPS</w:t>
            </w:r>
            <w:r>
              <w:rPr>
                <w:rFonts w:ascii="宋体" w:hAnsi="宋体" w:hint="eastAsia"/>
                <w:sz w:val="21"/>
                <w:szCs w:val="21"/>
              </w:rPr>
              <w:t>挤塑聚苯板</w:t>
            </w:r>
          </w:p>
          <w:p w14:paraId="6CD1DD4C"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sz w:val="21"/>
                <w:szCs w:val="21"/>
              </w:rPr>
              <w:t>3mm</w:t>
            </w:r>
            <w:r>
              <w:rPr>
                <w:rFonts w:ascii="宋体" w:hAnsi="宋体" w:hint="eastAsia"/>
                <w:sz w:val="21"/>
                <w:szCs w:val="21"/>
              </w:rPr>
              <w:t>隔声垫</w:t>
            </w:r>
          </w:p>
          <w:p w14:paraId="4A239DD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6</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536A932C"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7</w:t>
            </w:r>
            <w:r>
              <w:rPr>
                <w:rFonts w:ascii="宋体" w:hAnsi="宋体" w:hint="eastAsia"/>
                <w:sz w:val="21"/>
                <w:szCs w:val="21"/>
              </w:rPr>
              <w:t>-</w:t>
            </w:r>
            <w:r>
              <w:rPr>
                <w:rFonts w:ascii="宋体" w:hAnsi="宋体" w:hint="eastAsia"/>
                <w:sz w:val="21"/>
                <w:szCs w:val="21"/>
              </w:rPr>
              <w:t>竖向隔声片</w:t>
            </w:r>
          </w:p>
        </w:tc>
        <w:tc>
          <w:tcPr>
            <w:tcW w:w="0" w:type="auto"/>
            <w:vMerge/>
            <w:vAlign w:val="center"/>
          </w:tcPr>
          <w:p w14:paraId="3A9CF1ED" w14:textId="77777777" w:rsidR="00622EE7" w:rsidRDefault="00622EE7">
            <w:pPr>
              <w:widowControl/>
              <w:jc w:val="left"/>
              <w:rPr>
                <w:rFonts w:ascii="宋体" w:hAnsi="宋体"/>
                <w:sz w:val="21"/>
                <w:szCs w:val="21"/>
              </w:rPr>
            </w:pPr>
          </w:p>
        </w:tc>
      </w:tr>
    </w:tbl>
    <w:p w14:paraId="59A022EA" w14:textId="77777777" w:rsidR="00622EE7" w:rsidRDefault="00622EE7"/>
    <w:p w14:paraId="6F6843A5" w14:textId="77777777" w:rsidR="00622EE7" w:rsidRDefault="00622EE7"/>
    <w:p w14:paraId="0DF80C94" w14:textId="77777777" w:rsidR="00622EE7" w:rsidRDefault="00E60909">
      <w:pPr>
        <w:spacing w:beforeLines="25" w:before="78"/>
        <w:contextualSpacing/>
        <w:jc w:val="center"/>
        <w:rPr>
          <w:rFonts w:ascii="宋体" w:hAnsi="宋体"/>
          <w:b/>
          <w:sz w:val="21"/>
          <w:szCs w:val="21"/>
        </w:rPr>
      </w:pPr>
      <w:r>
        <w:rPr>
          <w:rFonts w:ascii="宋体" w:hAnsi="宋体" w:hint="eastAsia"/>
          <w:b/>
          <w:sz w:val="21"/>
          <w:szCs w:val="21"/>
        </w:rPr>
        <w:lastRenderedPageBreak/>
        <w:t>表</w:t>
      </w:r>
      <w:r>
        <w:rPr>
          <w:rFonts w:ascii="宋体" w:hAnsi="宋体"/>
          <w:b/>
          <w:sz w:val="21"/>
          <w:szCs w:val="21"/>
        </w:rPr>
        <w:t xml:space="preserve">2  </w:t>
      </w:r>
      <w:proofErr w:type="gramStart"/>
      <w:r>
        <w:rPr>
          <w:rFonts w:ascii="宋体" w:hAnsi="宋体" w:hint="eastAsia"/>
          <w:b/>
          <w:sz w:val="21"/>
          <w:szCs w:val="21"/>
        </w:rPr>
        <w:t>浮筑楼板</w:t>
      </w:r>
      <w:proofErr w:type="gramEnd"/>
      <w:r>
        <w:rPr>
          <w:rFonts w:ascii="宋体" w:hAnsi="宋体" w:hint="eastAsia"/>
          <w:b/>
          <w:sz w:val="21"/>
          <w:szCs w:val="21"/>
        </w:rPr>
        <w:t>选型（续）</w:t>
      </w:r>
    </w:p>
    <w:tbl>
      <w:tblPr>
        <w:tblStyle w:val="af0"/>
        <w:tblW w:w="8549"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56"/>
        <w:gridCol w:w="3336"/>
        <w:gridCol w:w="1657"/>
      </w:tblGrid>
      <w:tr w:rsidR="00622EE7" w14:paraId="5A4730BC" w14:textId="77777777">
        <w:tc>
          <w:tcPr>
            <w:tcW w:w="6892" w:type="dxa"/>
            <w:gridSpan w:val="2"/>
            <w:tcBorders>
              <w:top w:val="single" w:sz="12" w:space="0" w:color="auto"/>
              <w:left w:val="single" w:sz="12" w:space="0" w:color="auto"/>
              <w:bottom w:val="single" w:sz="4" w:space="0" w:color="auto"/>
              <w:right w:val="single" w:sz="4" w:space="0" w:color="auto"/>
            </w:tcBorders>
            <w:vAlign w:val="center"/>
          </w:tcPr>
          <w:p w14:paraId="00073228" w14:textId="77777777" w:rsidR="00622EE7" w:rsidRDefault="00E60909">
            <w:pPr>
              <w:pStyle w:val="af3"/>
              <w:spacing w:line="240" w:lineRule="auto"/>
              <w:ind w:firstLineChars="0" w:firstLine="0"/>
              <w:jc w:val="center"/>
              <w:rPr>
                <w:rFonts w:ascii="宋体" w:hAnsi="宋体"/>
                <w:sz w:val="21"/>
                <w:szCs w:val="21"/>
              </w:rPr>
            </w:pPr>
            <w:r>
              <w:rPr>
                <w:rFonts w:ascii="宋体" w:hAnsi="宋体" w:hint="eastAsia"/>
                <w:sz w:val="21"/>
                <w:szCs w:val="21"/>
              </w:rPr>
              <w:t>楼板构造示意</w:t>
            </w:r>
          </w:p>
        </w:tc>
        <w:tc>
          <w:tcPr>
            <w:tcW w:w="1657" w:type="dxa"/>
            <w:tcBorders>
              <w:top w:val="single" w:sz="12" w:space="0" w:color="auto"/>
              <w:left w:val="single" w:sz="4" w:space="0" w:color="auto"/>
              <w:bottom w:val="single" w:sz="4" w:space="0" w:color="auto"/>
              <w:right w:val="single" w:sz="12" w:space="0" w:color="auto"/>
            </w:tcBorders>
            <w:vAlign w:val="center"/>
          </w:tcPr>
          <w:p w14:paraId="2F1BD856" w14:textId="77777777" w:rsidR="00622EE7" w:rsidRDefault="00E60909">
            <w:pPr>
              <w:pStyle w:val="af3"/>
              <w:spacing w:beforeLines="25" w:before="78" w:line="240" w:lineRule="auto"/>
              <w:ind w:firstLineChars="0" w:firstLine="0"/>
              <w:contextualSpacing/>
              <w:jc w:val="center"/>
              <w:rPr>
                <w:rFonts w:ascii="宋体" w:hAnsi="宋体"/>
                <w:sz w:val="21"/>
                <w:szCs w:val="21"/>
              </w:rPr>
            </w:pPr>
            <w:proofErr w:type="spellStart"/>
            <w:r>
              <w:rPr>
                <w:rFonts w:ascii="宋体" w:hAnsi="宋体"/>
                <w:i/>
                <w:sz w:val="21"/>
                <w:szCs w:val="21"/>
              </w:rPr>
              <w:t>L</w:t>
            </w:r>
            <w:r>
              <w:rPr>
                <w:rFonts w:ascii="宋体" w:hAnsi="宋体"/>
                <w:i/>
                <w:sz w:val="21"/>
                <w:szCs w:val="21"/>
                <w:vertAlign w:val="subscript"/>
              </w:rPr>
              <w:t>n,w</w:t>
            </w:r>
            <w:proofErr w:type="spellEnd"/>
            <w:r>
              <w:rPr>
                <w:rFonts w:ascii="宋体" w:hAnsi="宋体" w:hint="eastAsia"/>
                <w:sz w:val="21"/>
                <w:szCs w:val="21"/>
              </w:rPr>
              <w:t>隔声量参考值（</w:t>
            </w:r>
            <w:r>
              <w:rPr>
                <w:rFonts w:ascii="宋体" w:hAnsi="宋体"/>
                <w:sz w:val="21"/>
                <w:szCs w:val="21"/>
              </w:rPr>
              <w:t>dB</w:t>
            </w:r>
            <w:r>
              <w:rPr>
                <w:rFonts w:ascii="宋体" w:hAnsi="宋体" w:hint="eastAsia"/>
                <w:sz w:val="21"/>
                <w:szCs w:val="21"/>
              </w:rPr>
              <w:t>）</w:t>
            </w:r>
          </w:p>
        </w:tc>
      </w:tr>
      <w:tr w:rsidR="00622EE7" w14:paraId="77C53136" w14:textId="77777777">
        <w:tc>
          <w:tcPr>
            <w:tcW w:w="3556" w:type="dxa"/>
            <w:tcBorders>
              <w:top w:val="single" w:sz="4" w:space="0" w:color="auto"/>
              <w:left w:val="single" w:sz="12" w:space="0" w:color="auto"/>
              <w:bottom w:val="single" w:sz="4" w:space="0" w:color="auto"/>
              <w:right w:val="single" w:sz="4" w:space="0" w:color="auto"/>
            </w:tcBorders>
            <w:vAlign w:val="center"/>
          </w:tcPr>
          <w:p w14:paraId="78258D6F"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5EEF262D" wp14:editId="1798886F">
                  <wp:extent cx="1308735" cy="887095"/>
                  <wp:effectExtent l="0" t="0" r="5715"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2218" cy="896174"/>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53AFE62A"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51B6B602" wp14:editId="69714098">
                  <wp:extent cx="1303655" cy="969645"/>
                  <wp:effectExtent l="0" t="0" r="0" b="190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308992" cy="973996"/>
                          </a:xfrm>
                          <a:prstGeom prst="rect">
                            <a:avLst/>
                          </a:prstGeom>
                          <a:noFill/>
                          <a:ln>
                            <a:noFill/>
                          </a:ln>
                        </pic:spPr>
                      </pic:pic>
                    </a:graphicData>
                  </a:graphic>
                </wp:inline>
              </w:drawing>
            </w:r>
          </w:p>
        </w:tc>
        <w:tc>
          <w:tcPr>
            <w:tcW w:w="1657" w:type="dxa"/>
            <w:vMerge w:val="restart"/>
            <w:tcBorders>
              <w:top w:val="single" w:sz="4" w:space="0" w:color="auto"/>
              <w:left w:val="single" w:sz="4" w:space="0" w:color="auto"/>
              <w:right w:val="single" w:sz="12" w:space="0" w:color="auto"/>
            </w:tcBorders>
            <w:vAlign w:val="center"/>
          </w:tcPr>
          <w:p w14:paraId="1E1DC96E" w14:textId="77777777" w:rsidR="00622EE7" w:rsidRDefault="00E60909">
            <w:pPr>
              <w:pStyle w:val="af3"/>
              <w:spacing w:beforeLines="25" w:before="78" w:line="240" w:lineRule="auto"/>
              <w:contextualSpacing/>
              <w:jc w:val="center"/>
              <w:rPr>
                <w:rFonts w:ascii="宋体" w:hAnsi="宋体"/>
                <w:sz w:val="21"/>
                <w:szCs w:val="21"/>
              </w:rPr>
            </w:pPr>
            <w:r>
              <w:rPr>
                <w:rFonts w:ascii="宋体" w:hAnsi="宋体" w:hint="eastAsia"/>
                <w:sz w:val="21"/>
                <w:szCs w:val="21"/>
              </w:rPr>
              <w:t>＜</w:t>
            </w:r>
            <w:r>
              <w:rPr>
                <w:rFonts w:ascii="宋体" w:hAnsi="宋体"/>
                <w:sz w:val="21"/>
                <w:szCs w:val="21"/>
              </w:rPr>
              <w:t>60</w:t>
            </w:r>
          </w:p>
        </w:tc>
      </w:tr>
      <w:tr w:rsidR="00622EE7" w14:paraId="29B9DF0D" w14:textId="77777777">
        <w:tc>
          <w:tcPr>
            <w:tcW w:w="3556" w:type="dxa"/>
            <w:tcBorders>
              <w:top w:val="single" w:sz="4" w:space="0" w:color="auto"/>
              <w:left w:val="single" w:sz="12" w:space="0" w:color="auto"/>
              <w:bottom w:val="single" w:sz="4" w:space="0" w:color="auto"/>
              <w:right w:val="single" w:sz="4" w:space="0" w:color="auto"/>
            </w:tcBorders>
            <w:vAlign w:val="center"/>
          </w:tcPr>
          <w:p w14:paraId="62FDE3E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411D9F97"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288028F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10mm</w:t>
            </w:r>
            <w:r>
              <w:rPr>
                <w:rFonts w:ascii="宋体" w:hAnsi="宋体" w:hint="eastAsia"/>
                <w:sz w:val="21"/>
                <w:szCs w:val="21"/>
              </w:rPr>
              <w:t>厚隔声垫</w:t>
            </w:r>
          </w:p>
          <w:p w14:paraId="57AF6B2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7FAED3EA" w14:textId="77777777" w:rsidR="00622EE7" w:rsidRDefault="00E60909">
            <w:pPr>
              <w:pStyle w:val="afb"/>
              <w:ind w:left="960"/>
              <w:jc w:val="center"/>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3336" w:type="dxa"/>
            <w:tcBorders>
              <w:top w:val="single" w:sz="4" w:space="0" w:color="auto"/>
              <w:left w:val="single" w:sz="4" w:space="0" w:color="auto"/>
              <w:bottom w:val="single" w:sz="4" w:space="0" w:color="auto"/>
              <w:right w:val="single" w:sz="4" w:space="0" w:color="auto"/>
            </w:tcBorders>
            <w:vAlign w:val="center"/>
          </w:tcPr>
          <w:p w14:paraId="7104B7E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5D1041E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53BC45A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20mm</w:t>
            </w:r>
            <w:r>
              <w:rPr>
                <w:rFonts w:ascii="宋体" w:hAnsi="宋体" w:hint="eastAsia"/>
                <w:sz w:val="21"/>
                <w:szCs w:val="21"/>
              </w:rPr>
              <w:t>厚石墨聚苯乙烯隔声垫</w:t>
            </w:r>
          </w:p>
          <w:p w14:paraId="78C90D9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541BC966" w14:textId="77777777" w:rsidR="00622EE7" w:rsidRDefault="00E60909">
            <w:pPr>
              <w:pStyle w:val="afb"/>
              <w:ind w:left="960"/>
              <w:jc w:val="center"/>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1657" w:type="dxa"/>
            <w:vMerge/>
            <w:tcBorders>
              <w:left w:val="single" w:sz="4" w:space="0" w:color="auto"/>
              <w:right w:val="single" w:sz="12" w:space="0" w:color="auto"/>
            </w:tcBorders>
            <w:vAlign w:val="center"/>
          </w:tcPr>
          <w:p w14:paraId="490A4304" w14:textId="77777777" w:rsidR="00622EE7" w:rsidRDefault="00622EE7">
            <w:pPr>
              <w:pStyle w:val="af3"/>
              <w:spacing w:beforeLines="25" w:before="78" w:line="240" w:lineRule="auto"/>
              <w:contextualSpacing/>
              <w:rPr>
                <w:rFonts w:ascii="宋体" w:hAnsi="宋体"/>
                <w:sz w:val="21"/>
                <w:szCs w:val="21"/>
              </w:rPr>
            </w:pPr>
          </w:p>
        </w:tc>
      </w:tr>
      <w:tr w:rsidR="00622EE7" w14:paraId="144FAC38" w14:textId="77777777">
        <w:tc>
          <w:tcPr>
            <w:tcW w:w="3556" w:type="dxa"/>
            <w:tcBorders>
              <w:top w:val="single" w:sz="4" w:space="0" w:color="auto"/>
              <w:left w:val="single" w:sz="12" w:space="0" w:color="auto"/>
              <w:bottom w:val="single" w:sz="4" w:space="0" w:color="auto"/>
              <w:right w:val="single" w:sz="4" w:space="0" w:color="auto"/>
            </w:tcBorders>
            <w:vAlign w:val="center"/>
          </w:tcPr>
          <w:p w14:paraId="5AAEAD18"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38C7E734" wp14:editId="67FD8384">
                  <wp:extent cx="1276350" cy="949325"/>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80425" cy="952764"/>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7A335479"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03AB3FB1" wp14:editId="5BB70985">
                  <wp:extent cx="1104265" cy="877570"/>
                  <wp:effectExtent l="0" t="0" r="63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109751" cy="882152"/>
                          </a:xfrm>
                          <a:prstGeom prst="rect">
                            <a:avLst/>
                          </a:prstGeom>
                          <a:noFill/>
                          <a:ln>
                            <a:noFill/>
                          </a:ln>
                        </pic:spPr>
                      </pic:pic>
                    </a:graphicData>
                  </a:graphic>
                </wp:inline>
              </w:drawing>
            </w:r>
          </w:p>
        </w:tc>
        <w:tc>
          <w:tcPr>
            <w:tcW w:w="1657" w:type="dxa"/>
            <w:vMerge/>
            <w:tcBorders>
              <w:left w:val="single" w:sz="4" w:space="0" w:color="auto"/>
              <w:right w:val="single" w:sz="12" w:space="0" w:color="auto"/>
            </w:tcBorders>
            <w:vAlign w:val="center"/>
          </w:tcPr>
          <w:p w14:paraId="1E3C8F3C" w14:textId="77777777" w:rsidR="00622EE7" w:rsidRDefault="00622EE7">
            <w:pPr>
              <w:pStyle w:val="af3"/>
              <w:spacing w:beforeLines="25" w:before="78" w:line="240" w:lineRule="auto"/>
              <w:ind w:firstLineChars="0" w:firstLine="0"/>
              <w:contextualSpacing/>
              <w:jc w:val="center"/>
              <w:rPr>
                <w:rFonts w:ascii="宋体" w:hAnsi="宋体"/>
                <w:sz w:val="21"/>
                <w:szCs w:val="21"/>
              </w:rPr>
            </w:pPr>
          </w:p>
        </w:tc>
      </w:tr>
      <w:tr w:rsidR="00622EE7" w14:paraId="0E19E35C" w14:textId="77777777">
        <w:tc>
          <w:tcPr>
            <w:tcW w:w="3556" w:type="dxa"/>
            <w:tcBorders>
              <w:top w:val="single" w:sz="4" w:space="0" w:color="auto"/>
              <w:left w:val="single" w:sz="12" w:space="0" w:color="auto"/>
              <w:bottom w:val="single" w:sz="4" w:space="0" w:color="auto"/>
              <w:right w:val="single" w:sz="4" w:space="0" w:color="auto"/>
            </w:tcBorders>
            <w:vAlign w:val="center"/>
          </w:tcPr>
          <w:p w14:paraId="4F8E9564"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2C060E3F"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7F5D5675"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25</w:t>
            </w:r>
            <w:r>
              <w:rPr>
                <w:rFonts w:ascii="宋体" w:hAnsi="宋体" w:hint="eastAsia"/>
                <w:sz w:val="21"/>
                <w:szCs w:val="21"/>
              </w:rPr>
              <w:t>（</w:t>
            </w:r>
            <w:r>
              <w:rPr>
                <w:rFonts w:ascii="宋体" w:hAnsi="宋体"/>
                <w:sz w:val="21"/>
                <w:szCs w:val="21"/>
              </w:rPr>
              <w:t>20+5</w:t>
            </w:r>
            <w:r>
              <w:rPr>
                <w:rFonts w:ascii="宋体" w:hAnsi="宋体" w:hint="eastAsia"/>
                <w:sz w:val="21"/>
                <w:szCs w:val="21"/>
              </w:rPr>
              <w:t>）</w:t>
            </w:r>
            <w:r>
              <w:rPr>
                <w:rFonts w:ascii="宋体" w:hAnsi="宋体"/>
                <w:sz w:val="21"/>
                <w:szCs w:val="21"/>
              </w:rPr>
              <w:t>mm</w:t>
            </w:r>
            <w:r>
              <w:rPr>
                <w:rFonts w:ascii="宋体" w:hAnsi="宋体" w:hint="eastAsia"/>
                <w:sz w:val="21"/>
                <w:szCs w:val="21"/>
              </w:rPr>
              <w:t>厚复合隔声垫</w:t>
            </w:r>
          </w:p>
          <w:p w14:paraId="3ACAC2F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0FA625F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3336" w:type="dxa"/>
            <w:tcBorders>
              <w:top w:val="single" w:sz="4" w:space="0" w:color="auto"/>
              <w:left w:val="single" w:sz="4" w:space="0" w:color="auto"/>
              <w:bottom w:val="single" w:sz="4" w:space="0" w:color="auto"/>
              <w:right w:val="single" w:sz="4" w:space="0" w:color="auto"/>
            </w:tcBorders>
            <w:vAlign w:val="center"/>
          </w:tcPr>
          <w:p w14:paraId="740B635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73EE44E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16D59B4C"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hint="eastAsia"/>
                <w:sz w:val="21"/>
                <w:szCs w:val="21"/>
              </w:rPr>
              <w:t>铝箔（</w:t>
            </w:r>
            <w:proofErr w:type="gramStart"/>
            <w:r>
              <w:rPr>
                <w:rFonts w:ascii="宋体" w:hAnsi="宋体" w:hint="eastAsia"/>
                <w:sz w:val="21"/>
                <w:szCs w:val="21"/>
              </w:rPr>
              <w:t>水暖管固定</w:t>
            </w:r>
            <w:proofErr w:type="gramEnd"/>
            <w:r>
              <w:rPr>
                <w:rFonts w:ascii="宋体" w:hAnsi="宋体" w:hint="eastAsia"/>
                <w:sz w:val="21"/>
                <w:szCs w:val="21"/>
              </w:rPr>
              <w:t>于上侧）</w:t>
            </w:r>
          </w:p>
          <w:p w14:paraId="1BB37C9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20mm</w:t>
            </w:r>
            <w:r>
              <w:rPr>
                <w:rFonts w:ascii="宋体" w:hAnsi="宋体" w:hint="eastAsia"/>
                <w:sz w:val="21"/>
                <w:szCs w:val="21"/>
              </w:rPr>
              <w:t>厚石墨聚苯乙烯隔声垫</w:t>
            </w:r>
          </w:p>
          <w:p w14:paraId="4FBE84DE"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5AFC095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6</w:t>
            </w:r>
            <w:r>
              <w:rPr>
                <w:rFonts w:ascii="宋体" w:hAnsi="宋体" w:hint="eastAsia"/>
                <w:sz w:val="21"/>
                <w:szCs w:val="21"/>
              </w:rPr>
              <w:t>-</w:t>
            </w:r>
            <w:r>
              <w:rPr>
                <w:rFonts w:ascii="宋体" w:hAnsi="宋体" w:hint="eastAsia"/>
                <w:sz w:val="21"/>
                <w:szCs w:val="21"/>
              </w:rPr>
              <w:t>竖向隔声片</w:t>
            </w:r>
          </w:p>
        </w:tc>
        <w:tc>
          <w:tcPr>
            <w:tcW w:w="0" w:type="auto"/>
            <w:vMerge/>
            <w:tcBorders>
              <w:left w:val="single" w:sz="4" w:space="0" w:color="auto"/>
              <w:bottom w:val="single" w:sz="4" w:space="0" w:color="auto"/>
              <w:right w:val="single" w:sz="12" w:space="0" w:color="auto"/>
            </w:tcBorders>
            <w:vAlign w:val="center"/>
          </w:tcPr>
          <w:p w14:paraId="11FF66DD" w14:textId="77777777" w:rsidR="00622EE7" w:rsidRDefault="00622EE7">
            <w:pPr>
              <w:widowControl/>
              <w:jc w:val="left"/>
              <w:rPr>
                <w:rFonts w:ascii="宋体" w:hAnsi="宋体"/>
                <w:sz w:val="21"/>
                <w:szCs w:val="21"/>
              </w:rPr>
            </w:pPr>
          </w:p>
        </w:tc>
      </w:tr>
      <w:tr w:rsidR="00622EE7" w14:paraId="6C83D39B" w14:textId="77777777">
        <w:tc>
          <w:tcPr>
            <w:tcW w:w="3556" w:type="dxa"/>
            <w:tcBorders>
              <w:top w:val="single" w:sz="4" w:space="0" w:color="auto"/>
              <w:left w:val="single" w:sz="12" w:space="0" w:color="auto"/>
              <w:bottom w:val="single" w:sz="4" w:space="0" w:color="auto"/>
              <w:right w:val="single" w:sz="4" w:space="0" w:color="auto"/>
            </w:tcBorders>
            <w:vAlign w:val="center"/>
          </w:tcPr>
          <w:p w14:paraId="1234074F"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17F51134" wp14:editId="2FA1C239">
                  <wp:extent cx="1482090" cy="1037590"/>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509" cy="1037590"/>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71090EBA"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6BA4BF60" wp14:editId="2A4EA855">
                  <wp:extent cx="1362075" cy="1043940"/>
                  <wp:effectExtent l="0" t="0" r="9525" b="381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362075" cy="1043940"/>
                          </a:xfrm>
                          <a:prstGeom prst="rect">
                            <a:avLst/>
                          </a:prstGeom>
                          <a:noFill/>
                          <a:ln>
                            <a:noFill/>
                          </a:ln>
                        </pic:spPr>
                      </pic:pic>
                    </a:graphicData>
                  </a:graphic>
                </wp:inline>
              </w:drawing>
            </w:r>
          </w:p>
        </w:tc>
        <w:tc>
          <w:tcPr>
            <w:tcW w:w="1657" w:type="dxa"/>
            <w:vMerge w:val="restart"/>
            <w:tcBorders>
              <w:top w:val="single" w:sz="4" w:space="0" w:color="auto"/>
              <w:left w:val="single" w:sz="4" w:space="0" w:color="auto"/>
              <w:right w:val="single" w:sz="12" w:space="0" w:color="auto"/>
            </w:tcBorders>
            <w:vAlign w:val="center"/>
          </w:tcPr>
          <w:p w14:paraId="0386FC25" w14:textId="77777777" w:rsidR="00622EE7" w:rsidRDefault="00E60909">
            <w:pPr>
              <w:pStyle w:val="af3"/>
              <w:spacing w:beforeLines="25" w:before="78" w:line="240" w:lineRule="auto"/>
              <w:contextualSpacing/>
              <w:jc w:val="center"/>
              <w:rPr>
                <w:rFonts w:ascii="宋体" w:hAnsi="宋体"/>
                <w:sz w:val="21"/>
                <w:szCs w:val="21"/>
              </w:rPr>
            </w:pPr>
            <w:r>
              <w:rPr>
                <w:rFonts w:ascii="宋体" w:hAnsi="宋体" w:hint="eastAsia"/>
                <w:sz w:val="21"/>
                <w:szCs w:val="21"/>
              </w:rPr>
              <w:t>＜</w:t>
            </w:r>
            <w:r>
              <w:rPr>
                <w:rFonts w:ascii="宋体" w:hAnsi="宋体"/>
                <w:sz w:val="21"/>
                <w:szCs w:val="21"/>
              </w:rPr>
              <w:t>55</w:t>
            </w:r>
          </w:p>
        </w:tc>
      </w:tr>
      <w:tr w:rsidR="00622EE7" w14:paraId="646E1601" w14:textId="77777777">
        <w:tc>
          <w:tcPr>
            <w:tcW w:w="3556" w:type="dxa"/>
            <w:tcBorders>
              <w:top w:val="single" w:sz="4" w:space="0" w:color="auto"/>
              <w:left w:val="single" w:sz="12" w:space="0" w:color="auto"/>
              <w:bottom w:val="single" w:sz="4" w:space="0" w:color="auto"/>
              <w:right w:val="single" w:sz="4" w:space="0" w:color="auto"/>
            </w:tcBorders>
            <w:vAlign w:val="center"/>
          </w:tcPr>
          <w:p w14:paraId="1859DC0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4A5B59D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2D92E174"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15mm</w:t>
            </w:r>
            <w:r>
              <w:rPr>
                <w:rFonts w:ascii="宋体" w:hAnsi="宋体" w:hint="eastAsia"/>
                <w:sz w:val="21"/>
                <w:szCs w:val="21"/>
              </w:rPr>
              <w:t>厚隔声垫（半凹型）</w:t>
            </w:r>
          </w:p>
          <w:p w14:paraId="76DFF02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080C561F" w14:textId="77777777" w:rsidR="00622EE7" w:rsidRDefault="00E60909">
            <w:pPr>
              <w:pStyle w:val="af3"/>
              <w:spacing w:line="240" w:lineRule="auto"/>
              <w:ind w:firstLineChars="0" w:firstLine="0"/>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3336" w:type="dxa"/>
            <w:tcBorders>
              <w:top w:val="single" w:sz="4" w:space="0" w:color="auto"/>
              <w:left w:val="single" w:sz="4" w:space="0" w:color="auto"/>
              <w:bottom w:val="single" w:sz="4" w:space="0" w:color="auto"/>
              <w:right w:val="single" w:sz="4" w:space="0" w:color="auto"/>
            </w:tcBorders>
            <w:vAlign w:val="center"/>
          </w:tcPr>
          <w:p w14:paraId="5C5089D9"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18C53894"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61184B1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25mm</w:t>
            </w:r>
            <w:r>
              <w:rPr>
                <w:rFonts w:ascii="宋体" w:hAnsi="宋体" w:hint="eastAsia"/>
                <w:sz w:val="21"/>
                <w:szCs w:val="21"/>
              </w:rPr>
              <w:t>厚石墨聚苯乙烯隔声垫</w:t>
            </w:r>
          </w:p>
          <w:p w14:paraId="7C04F26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64D4B688" w14:textId="77777777" w:rsidR="00622EE7" w:rsidRDefault="00E60909">
            <w:pPr>
              <w:pStyle w:val="af3"/>
              <w:spacing w:line="240" w:lineRule="auto"/>
              <w:ind w:firstLineChars="0" w:firstLine="0"/>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1657" w:type="dxa"/>
            <w:vMerge/>
            <w:tcBorders>
              <w:left w:val="single" w:sz="4" w:space="0" w:color="auto"/>
              <w:right w:val="single" w:sz="12" w:space="0" w:color="auto"/>
            </w:tcBorders>
            <w:vAlign w:val="center"/>
          </w:tcPr>
          <w:p w14:paraId="4F6B5A25" w14:textId="77777777" w:rsidR="00622EE7" w:rsidRDefault="00622EE7">
            <w:pPr>
              <w:pStyle w:val="af3"/>
              <w:spacing w:beforeLines="25" w:before="78" w:line="240" w:lineRule="auto"/>
              <w:contextualSpacing/>
              <w:rPr>
                <w:rFonts w:ascii="宋体" w:hAnsi="宋体"/>
                <w:sz w:val="21"/>
                <w:szCs w:val="21"/>
              </w:rPr>
            </w:pPr>
          </w:p>
        </w:tc>
      </w:tr>
      <w:tr w:rsidR="00622EE7" w14:paraId="45E4FB48" w14:textId="77777777">
        <w:tc>
          <w:tcPr>
            <w:tcW w:w="3556" w:type="dxa"/>
            <w:tcBorders>
              <w:top w:val="single" w:sz="4" w:space="0" w:color="auto"/>
              <w:left w:val="single" w:sz="12" w:space="0" w:color="auto"/>
              <w:bottom w:val="single" w:sz="4" w:space="0" w:color="auto"/>
              <w:right w:val="single" w:sz="4" w:space="0" w:color="auto"/>
            </w:tcBorders>
            <w:vAlign w:val="center"/>
          </w:tcPr>
          <w:p w14:paraId="6E4F1906"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269C926E" wp14:editId="5FAA5FB9">
                  <wp:extent cx="1353820" cy="103759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54194" cy="1037590"/>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6B7FF443"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26272D47" wp14:editId="4800B3F1">
                  <wp:extent cx="1297305" cy="1057275"/>
                  <wp:effectExtent l="0" t="0" r="0" b="952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297305" cy="1057275"/>
                          </a:xfrm>
                          <a:prstGeom prst="rect">
                            <a:avLst/>
                          </a:prstGeom>
                          <a:noFill/>
                          <a:ln>
                            <a:noFill/>
                          </a:ln>
                        </pic:spPr>
                      </pic:pic>
                    </a:graphicData>
                  </a:graphic>
                </wp:inline>
              </w:drawing>
            </w:r>
          </w:p>
        </w:tc>
        <w:tc>
          <w:tcPr>
            <w:tcW w:w="1657" w:type="dxa"/>
            <w:vMerge/>
            <w:tcBorders>
              <w:left w:val="single" w:sz="4" w:space="0" w:color="auto"/>
              <w:right w:val="single" w:sz="12" w:space="0" w:color="auto"/>
            </w:tcBorders>
            <w:vAlign w:val="center"/>
          </w:tcPr>
          <w:p w14:paraId="26CA9C90" w14:textId="77777777" w:rsidR="00622EE7" w:rsidRDefault="00622EE7">
            <w:pPr>
              <w:pStyle w:val="af3"/>
              <w:spacing w:beforeLines="25" w:before="78" w:line="240" w:lineRule="auto"/>
              <w:ind w:firstLineChars="0" w:firstLine="0"/>
              <w:contextualSpacing/>
              <w:jc w:val="center"/>
              <w:rPr>
                <w:rFonts w:ascii="宋体" w:hAnsi="宋体"/>
                <w:sz w:val="21"/>
                <w:szCs w:val="21"/>
              </w:rPr>
            </w:pPr>
          </w:p>
        </w:tc>
      </w:tr>
      <w:tr w:rsidR="00622EE7" w14:paraId="047AA018" w14:textId="77777777">
        <w:tc>
          <w:tcPr>
            <w:tcW w:w="3556" w:type="dxa"/>
            <w:tcBorders>
              <w:top w:val="single" w:sz="4" w:space="0" w:color="auto"/>
              <w:left w:val="single" w:sz="12" w:space="0" w:color="auto"/>
              <w:bottom w:val="single" w:sz="12" w:space="0" w:color="auto"/>
              <w:right w:val="single" w:sz="4" w:space="0" w:color="auto"/>
            </w:tcBorders>
            <w:vAlign w:val="center"/>
          </w:tcPr>
          <w:p w14:paraId="7C88D11E"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27CB758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436922E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30</w:t>
            </w:r>
            <w:r>
              <w:rPr>
                <w:rFonts w:ascii="宋体" w:hAnsi="宋体" w:hint="eastAsia"/>
                <w:sz w:val="21"/>
                <w:szCs w:val="21"/>
              </w:rPr>
              <w:t>（</w:t>
            </w:r>
            <w:r>
              <w:rPr>
                <w:rFonts w:ascii="宋体" w:hAnsi="宋体" w:hint="eastAsia"/>
                <w:sz w:val="21"/>
                <w:szCs w:val="21"/>
              </w:rPr>
              <w:t>2</w:t>
            </w:r>
            <w:r>
              <w:rPr>
                <w:rFonts w:ascii="宋体" w:hAnsi="宋体"/>
                <w:sz w:val="21"/>
                <w:szCs w:val="21"/>
              </w:rPr>
              <w:t>0+10</w:t>
            </w:r>
            <w:r>
              <w:rPr>
                <w:rFonts w:ascii="宋体" w:hAnsi="宋体" w:hint="eastAsia"/>
                <w:sz w:val="21"/>
                <w:szCs w:val="21"/>
              </w:rPr>
              <w:t>）</w:t>
            </w:r>
            <w:r>
              <w:rPr>
                <w:rFonts w:ascii="宋体" w:hAnsi="宋体"/>
                <w:sz w:val="21"/>
                <w:szCs w:val="21"/>
              </w:rPr>
              <w:t>mm</w:t>
            </w:r>
            <w:r>
              <w:rPr>
                <w:rFonts w:ascii="宋体" w:hAnsi="宋体" w:hint="eastAsia"/>
                <w:sz w:val="21"/>
                <w:szCs w:val="21"/>
              </w:rPr>
              <w:t>厚复合隔声垫</w:t>
            </w:r>
          </w:p>
          <w:p w14:paraId="336C9D6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68DE8B8C"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hint="eastAsia"/>
                <w:sz w:val="21"/>
                <w:szCs w:val="21"/>
              </w:rPr>
              <w:t>竖向隔声片</w:t>
            </w:r>
          </w:p>
        </w:tc>
        <w:tc>
          <w:tcPr>
            <w:tcW w:w="3336" w:type="dxa"/>
            <w:tcBorders>
              <w:top w:val="single" w:sz="4" w:space="0" w:color="auto"/>
              <w:left w:val="single" w:sz="4" w:space="0" w:color="auto"/>
              <w:bottom w:val="single" w:sz="12" w:space="0" w:color="auto"/>
              <w:right w:val="single" w:sz="4" w:space="0" w:color="auto"/>
            </w:tcBorders>
            <w:vAlign w:val="center"/>
          </w:tcPr>
          <w:p w14:paraId="3C9C569F"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1</w:t>
            </w:r>
            <w:r>
              <w:rPr>
                <w:rFonts w:ascii="宋体" w:hAnsi="宋体" w:hint="eastAsia"/>
                <w:sz w:val="21"/>
                <w:szCs w:val="21"/>
              </w:rPr>
              <w:t>-</w:t>
            </w:r>
            <w:r>
              <w:rPr>
                <w:rFonts w:ascii="宋体" w:hAnsi="宋体" w:hint="eastAsia"/>
                <w:sz w:val="21"/>
                <w:szCs w:val="21"/>
              </w:rPr>
              <w:t>饰面层</w:t>
            </w:r>
          </w:p>
          <w:p w14:paraId="54B3E6A8"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14A48D28"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hint="eastAsia"/>
                <w:sz w:val="21"/>
                <w:szCs w:val="21"/>
              </w:rPr>
              <w:t>铝箔（</w:t>
            </w:r>
            <w:proofErr w:type="gramStart"/>
            <w:r>
              <w:rPr>
                <w:rFonts w:ascii="宋体" w:hAnsi="宋体" w:hint="eastAsia"/>
                <w:sz w:val="21"/>
                <w:szCs w:val="21"/>
              </w:rPr>
              <w:t>水暖管固定</w:t>
            </w:r>
            <w:proofErr w:type="gramEnd"/>
            <w:r>
              <w:rPr>
                <w:rFonts w:ascii="宋体" w:hAnsi="宋体" w:hint="eastAsia"/>
                <w:sz w:val="21"/>
                <w:szCs w:val="21"/>
              </w:rPr>
              <w:t>于上侧）</w:t>
            </w:r>
          </w:p>
          <w:p w14:paraId="07C7EE02"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25mm</w:t>
            </w:r>
            <w:r>
              <w:rPr>
                <w:rFonts w:ascii="宋体" w:hAnsi="宋体" w:hint="eastAsia"/>
                <w:sz w:val="21"/>
                <w:szCs w:val="21"/>
              </w:rPr>
              <w:t>厚石墨聚苯乙烯隔声垫</w:t>
            </w:r>
          </w:p>
          <w:p w14:paraId="1C02783A"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25CB1713"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6</w:t>
            </w:r>
            <w:r>
              <w:rPr>
                <w:rFonts w:ascii="宋体" w:hAnsi="宋体" w:hint="eastAsia"/>
                <w:sz w:val="21"/>
                <w:szCs w:val="21"/>
              </w:rPr>
              <w:t>-</w:t>
            </w:r>
            <w:r>
              <w:rPr>
                <w:rFonts w:ascii="宋体" w:hAnsi="宋体" w:hint="eastAsia"/>
                <w:sz w:val="21"/>
                <w:szCs w:val="21"/>
              </w:rPr>
              <w:t>竖向隔声片</w:t>
            </w:r>
          </w:p>
        </w:tc>
        <w:tc>
          <w:tcPr>
            <w:tcW w:w="0" w:type="auto"/>
            <w:vMerge/>
            <w:tcBorders>
              <w:left w:val="single" w:sz="4" w:space="0" w:color="auto"/>
              <w:bottom w:val="single" w:sz="12" w:space="0" w:color="auto"/>
              <w:right w:val="single" w:sz="12" w:space="0" w:color="auto"/>
            </w:tcBorders>
            <w:vAlign w:val="center"/>
          </w:tcPr>
          <w:p w14:paraId="7B40EABF" w14:textId="77777777" w:rsidR="00622EE7" w:rsidRDefault="00622EE7">
            <w:pPr>
              <w:widowControl/>
              <w:rPr>
                <w:rFonts w:ascii="宋体" w:hAnsi="宋体"/>
                <w:sz w:val="21"/>
                <w:szCs w:val="21"/>
              </w:rPr>
            </w:pPr>
          </w:p>
        </w:tc>
      </w:tr>
    </w:tbl>
    <w:p w14:paraId="6F5C7230"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 xml:space="preserve">8.1.16  </w:t>
      </w:r>
      <w:r>
        <w:rPr>
          <w:rFonts w:ascii="Times New Roman" w:eastAsia="宋体" w:hAnsi="Times New Roman"/>
          <w:color w:val="auto"/>
        </w:rPr>
        <w:t>当项目采用全装修交付时，可通过以上方式提升隔声效果。</w:t>
      </w:r>
    </w:p>
    <w:p w14:paraId="4895817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8.1.17  </w:t>
      </w:r>
      <w:r>
        <w:rPr>
          <w:rFonts w:ascii="Times New Roman" w:eastAsia="宋体" w:hAnsi="Times New Roman"/>
          <w:color w:val="auto"/>
        </w:rPr>
        <w:t>当项目采用全装修交付时，可通过弹性面层提升隔声效果。</w:t>
      </w:r>
      <w:r>
        <w:rPr>
          <w:rFonts w:ascii="Times New Roman" w:eastAsia="宋体" w:hAnsi="Times New Roman" w:hint="eastAsia"/>
          <w:color w:val="auto"/>
        </w:rPr>
        <w:t>各材质厚度：</w:t>
      </w:r>
      <w:r>
        <w:rPr>
          <w:rFonts w:ascii="Times New Roman" w:eastAsia="宋体" w:hAnsi="Times New Roman"/>
          <w:color w:val="auto"/>
        </w:rPr>
        <w:t>地毯不小于</w:t>
      </w:r>
      <w:r>
        <w:rPr>
          <w:rFonts w:ascii="Times New Roman" w:eastAsia="宋体" w:hAnsi="Times New Roman"/>
          <w:color w:val="auto"/>
        </w:rPr>
        <w:t>5mm</w:t>
      </w:r>
      <w:r>
        <w:rPr>
          <w:rFonts w:ascii="Times New Roman" w:eastAsia="宋体" w:hAnsi="Times New Roman" w:hint="eastAsia"/>
          <w:color w:val="auto"/>
        </w:rPr>
        <w:t>、</w:t>
      </w:r>
      <w:r>
        <w:rPr>
          <w:rFonts w:ascii="Times New Roman" w:eastAsia="宋体" w:hAnsi="Times New Roman"/>
          <w:color w:val="auto"/>
        </w:rPr>
        <w:t>复合木地板不小于</w:t>
      </w:r>
      <w:r>
        <w:rPr>
          <w:rFonts w:ascii="Times New Roman" w:eastAsia="宋体" w:hAnsi="Times New Roman"/>
          <w:color w:val="auto"/>
        </w:rPr>
        <w:t>12mm</w:t>
      </w:r>
      <w:r>
        <w:rPr>
          <w:rFonts w:ascii="Times New Roman" w:eastAsia="宋体" w:hAnsi="Times New Roman" w:hint="eastAsia"/>
          <w:color w:val="auto"/>
        </w:rPr>
        <w:t>、</w:t>
      </w:r>
      <w:r>
        <w:rPr>
          <w:rFonts w:ascii="Times New Roman" w:eastAsia="宋体" w:hAnsi="Times New Roman"/>
          <w:color w:val="auto"/>
        </w:rPr>
        <w:t>SPC</w:t>
      </w:r>
      <w:r>
        <w:rPr>
          <w:rFonts w:ascii="Times New Roman" w:eastAsia="宋体" w:hAnsi="Times New Roman"/>
          <w:color w:val="auto"/>
        </w:rPr>
        <w:t>地板不小于</w:t>
      </w:r>
      <w:r>
        <w:rPr>
          <w:rFonts w:ascii="Times New Roman" w:eastAsia="宋体" w:hAnsi="Times New Roman"/>
          <w:color w:val="auto"/>
        </w:rPr>
        <w:t>4mm</w:t>
      </w:r>
      <w:r>
        <w:rPr>
          <w:rFonts w:ascii="Times New Roman" w:eastAsia="宋体" w:hAnsi="Times New Roman"/>
          <w:color w:val="auto"/>
        </w:rPr>
        <w:t>。</w:t>
      </w:r>
    </w:p>
    <w:p w14:paraId="2A958189" w14:textId="77777777" w:rsidR="00622EE7" w:rsidRDefault="00E60909">
      <w:pPr>
        <w:spacing w:beforeLines="50" w:before="156" w:afterLines="50" w:after="156" w:line="360" w:lineRule="auto"/>
        <w:jc w:val="center"/>
        <w:outlineLvl w:val="1"/>
        <w:rPr>
          <w:rFonts w:ascii="Times New Roman" w:eastAsia="黑体" w:hAnsi="Times New Roman"/>
        </w:rPr>
      </w:pPr>
      <w:bookmarkStart w:id="150" w:name="_Toc182841409"/>
      <w:bookmarkStart w:id="151" w:name="_Toc181092588"/>
      <w:r>
        <w:rPr>
          <w:rFonts w:ascii="Times New Roman" w:eastAsia="黑体" w:hAnsi="Times New Roman"/>
        </w:rPr>
        <w:t xml:space="preserve">8.2 </w:t>
      </w:r>
      <w:r>
        <w:rPr>
          <w:rFonts w:ascii="Times New Roman" w:eastAsia="黑体" w:hAnsi="Times New Roman" w:hint="eastAsia"/>
        </w:rPr>
        <w:t>防水</w:t>
      </w:r>
      <w:bookmarkEnd w:id="150"/>
      <w:bookmarkEnd w:id="151"/>
    </w:p>
    <w:p w14:paraId="4497388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  </w:t>
      </w:r>
      <w:r>
        <w:rPr>
          <w:rFonts w:ascii="Times New Roman" w:eastAsia="宋体" w:hAnsi="Times New Roman"/>
          <w:color w:val="auto"/>
        </w:rPr>
        <w:t>工程防水设计工作年限是指工程防水系统在不需进行大修即可按预定目的使用的年限，是工程防水设计的重要参数和性能目标，影响着防水材料选用和工程防水做法。防水系统包括防水层、防水构造、细部节点、排水措施等。</w:t>
      </w:r>
    </w:p>
    <w:p w14:paraId="7860E2D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8.2.6  </w:t>
      </w:r>
      <w:r>
        <w:rPr>
          <w:rFonts w:ascii="Times New Roman" w:eastAsia="宋体" w:hAnsi="Times New Roman"/>
          <w:color w:val="auto"/>
        </w:rPr>
        <w:t>防水砂浆常用于蓄水池、室内卫生间过门石下等位置。单层施工厚度宜为</w:t>
      </w:r>
      <w:r>
        <w:rPr>
          <w:rFonts w:ascii="Times New Roman" w:eastAsia="宋体" w:hAnsi="Times New Roman"/>
          <w:color w:val="auto"/>
        </w:rPr>
        <w:t>6</w:t>
      </w:r>
      <w:r>
        <w:rPr>
          <w:rFonts w:ascii="Times New Roman" w:eastAsia="宋体" w:hAnsi="Times New Roman"/>
          <w:color w:val="auto"/>
        </w:rPr>
        <w:t>～</w:t>
      </w:r>
      <w:r>
        <w:rPr>
          <w:rFonts w:ascii="Times New Roman" w:eastAsia="宋体" w:hAnsi="Times New Roman"/>
          <w:color w:val="auto"/>
        </w:rPr>
        <w:t>8mm</w:t>
      </w:r>
      <w:r>
        <w:rPr>
          <w:rFonts w:ascii="Times New Roman" w:eastAsia="宋体" w:hAnsi="Times New Roman"/>
          <w:color w:val="auto"/>
        </w:rPr>
        <w:t>，双层施工宜为</w:t>
      </w:r>
      <w:r>
        <w:rPr>
          <w:rFonts w:ascii="Times New Roman" w:eastAsia="宋体" w:hAnsi="Times New Roman"/>
          <w:color w:val="auto"/>
        </w:rPr>
        <w:t>10</w:t>
      </w:r>
      <w:r>
        <w:rPr>
          <w:rFonts w:ascii="Times New Roman" w:eastAsia="宋体" w:hAnsi="Times New Roman"/>
          <w:color w:val="auto"/>
        </w:rPr>
        <w:t>～</w:t>
      </w:r>
      <w:r>
        <w:rPr>
          <w:rFonts w:ascii="Times New Roman" w:eastAsia="宋体" w:hAnsi="Times New Roman"/>
          <w:color w:val="auto"/>
        </w:rPr>
        <w:t>12mm</w:t>
      </w:r>
      <w:r>
        <w:rPr>
          <w:rFonts w:ascii="Times New Roman" w:eastAsia="宋体" w:hAnsi="Times New Roman"/>
          <w:color w:val="auto"/>
        </w:rPr>
        <w:t>；掺外加剂或掺合料的水泥防水砂浆厚度宜为</w:t>
      </w:r>
      <w:r>
        <w:rPr>
          <w:rFonts w:ascii="Times New Roman" w:eastAsia="宋体" w:hAnsi="Times New Roman"/>
          <w:color w:val="auto"/>
        </w:rPr>
        <w:t>18mm</w:t>
      </w:r>
      <w:r>
        <w:rPr>
          <w:rFonts w:ascii="Times New Roman" w:eastAsia="宋体" w:hAnsi="Times New Roman"/>
          <w:color w:val="auto"/>
        </w:rPr>
        <w:t>。</w:t>
      </w:r>
    </w:p>
    <w:p w14:paraId="37EA603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8.2.12  </w:t>
      </w:r>
      <w:r>
        <w:rPr>
          <w:rFonts w:ascii="Times New Roman" w:eastAsia="宋体" w:hAnsi="Times New Roman"/>
          <w:color w:val="auto"/>
        </w:rPr>
        <w:t>应由供应商</w:t>
      </w:r>
      <w:proofErr w:type="gramStart"/>
      <w:r>
        <w:rPr>
          <w:rFonts w:ascii="Times New Roman" w:eastAsia="宋体" w:hAnsi="Times New Roman"/>
          <w:color w:val="auto"/>
        </w:rPr>
        <w:t>提供耐根穿刺</w:t>
      </w:r>
      <w:proofErr w:type="gramEnd"/>
      <w:r>
        <w:rPr>
          <w:rFonts w:ascii="Times New Roman" w:eastAsia="宋体" w:hAnsi="Times New Roman"/>
          <w:color w:val="auto"/>
        </w:rPr>
        <w:t>试验的型式检验报告。</w:t>
      </w:r>
    </w:p>
    <w:p w14:paraId="3579F43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8.2.16  </w:t>
      </w:r>
      <w:r>
        <w:rPr>
          <w:rFonts w:ascii="Times New Roman" w:eastAsia="宋体" w:hAnsi="Times New Roman"/>
          <w:color w:val="auto"/>
        </w:rPr>
        <w:t>穿墙管道指空调管道、热水器管道、排油烟管道等，由于安装的需要，管道和管道孔壁间会有一定的空隙，雨水在风压作用下会渗入到空隙中，另外孔道上部顺墙流下的雨水也可能在毛细作用下通过空隙渗入墙体或室内。因此伸出外墙管道应采用套管，套管周边做好密封处理，并形成内高外低的坡度，管道和套管间的空隙应封堵密实。</w:t>
      </w:r>
    </w:p>
    <w:p w14:paraId="229B0B2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8.2.18  </w:t>
      </w:r>
      <w:r>
        <w:rPr>
          <w:rFonts w:ascii="Times New Roman" w:eastAsia="宋体" w:hAnsi="Times New Roman"/>
          <w:color w:val="auto"/>
        </w:rPr>
        <w:t>门窗框洞口四周是渗漏高风险部位，应</w:t>
      </w:r>
      <w:r>
        <w:rPr>
          <w:rFonts w:ascii="Times New Roman" w:eastAsia="宋体" w:hAnsi="Times New Roman"/>
          <w:color w:val="auto"/>
        </w:rPr>
        <w:t>重点设防，外墙防水层应</w:t>
      </w:r>
      <w:proofErr w:type="gramStart"/>
      <w:r>
        <w:rPr>
          <w:rFonts w:ascii="Times New Roman" w:eastAsia="宋体" w:hAnsi="Times New Roman"/>
          <w:color w:val="auto"/>
        </w:rPr>
        <w:t>延伸至门窗框</w:t>
      </w:r>
      <w:proofErr w:type="gramEnd"/>
      <w:r>
        <w:rPr>
          <w:rFonts w:ascii="Times New Roman" w:eastAsia="宋体" w:hAnsi="Times New Roman"/>
          <w:color w:val="auto"/>
        </w:rPr>
        <w:t>，防水层与门窗框间应预留凹槽，</w:t>
      </w:r>
      <w:proofErr w:type="gramStart"/>
      <w:r>
        <w:rPr>
          <w:rFonts w:ascii="Times New Roman" w:eastAsia="宋体" w:hAnsi="Times New Roman"/>
          <w:color w:val="auto"/>
        </w:rPr>
        <w:t>并应嵌填</w:t>
      </w:r>
      <w:proofErr w:type="gramEnd"/>
      <w:r>
        <w:rPr>
          <w:rFonts w:ascii="Times New Roman" w:eastAsia="宋体" w:hAnsi="Times New Roman"/>
          <w:color w:val="auto"/>
        </w:rPr>
        <w:t>密封材料。</w:t>
      </w:r>
    </w:p>
    <w:p w14:paraId="3108500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8.2.19  </w:t>
      </w:r>
      <w:r>
        <w:rPr>
          <w:rFonts w:ascii="Times New Roman" w:eastAsia="宋体" w:hAnsi="Times New Roman"/>
          <w:color w:val="auto"/>
        </w:rPr>
        <w:t>排水板和</w:t>
      </w:r>
      <w:proofErr w:type="gramStart"/>
      <w:r>
        <w:rPr>
          <w:rFonts w:ascii="Times New Roman" w:eastAsia="宋体" w:hAnsi="Times New Roman"/>
          <w:color w:val="auto"/>
        </w:rPr>
        <w:t>滴水线</w:t>
      </w:r>
      <w:proofErr w:type="gramEnd"/>
      <w:r>
        <w:rPr>
          <w:rFonts w:ascii="Times New Roman" w:eastAsia="宋体" w:hAnsi="Times New Roman"/>
          <w:color w:val="auto"/>
        </w:rPr>
        <w:t>等构造可阻止雨水顺墙渗入门窗洞口缝隙，窗台外排水坡度利</w:t>
      </w:r>
      <w:r>
        <w:rPr>
          <w:rFonts w:ascii="Times New Roman" w:eastAsia="宋体" w:hAnsi="Times New Roman" w:hint="eastAsia"/>
          <w:color w:val="auto"/>
        </w:rPr>
        <w:t>于</w:t>
      </w:r>
      <w:r>
        <w:rPr>
          <w:rFonts w:ascii="Times New Roman" w:eastAsia="宋体" w:hAnsi="Times New Roman"/>
          <w:color w:val="auto"/>
        </w:rPr>
        <w:t>防水。</w:t>
      </w:r>
    </w:p>
    <w:p w14:paraId="26F218F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8.2.21  </w:t>
      </w:r>
      <w:r>
        <w:rPr>
          <w:rFonts w:ascii="Times New Roman" w:eastAsia="宋体" w:hAnsi="Times New Roman"/>
          <w:color w:val="auto"/>
        </w:rPr>
        <w:t>当为混凝土雨棚时，防水层应沿外口下翻至滴水线。</w:t>
      </w:r>
    </w:p>
    <w:p w14:paraId="30B4BD6F"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8.2.22  </w:t>
      </w:r>
      <w:r>
        <w:rPr>
          <w:rFonts w:ascii="Times New Roman" w:eastAsia="宋体" w:hAnsi="Times New Roman"/>
          <w:color w:val="auto"/>
        </w:rPr>
        <w:t>空调室外机搁板等室外挑板应有向外的排水坡度以防止雨水倒灌，</w:t>
      </w:r>
      <w:r>
        <w:rPr>
          <w:rFonts w:ascii="Times New Roman" w:eastAsia="宋体" w:hAnsi="Times New Roman" w:hint="eastAsia"/>
          <w:color w:val="auto"/>
        </w:rPr>
        <w:t>且</w:t>
      </w:r>
      <w:r>
        <w:rPr>
          <w:rFonts w:ascii="Times New Roman" w:eastAsia="宋体" w:hAnsi="Times New Roman"/>
          <w:color w:val="auto"/>
        </w:rPr>
        <w:t>节点处采取密封防水措施。</w:t>
      </w:r>
    </w:p>
    <w:p w14:paraId="20D40EE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8.2.23  </w:t>
      </w:r>
      <w:r>
        <w:rPr>
          <w:rFonts w:ascii="Times New Roman" w:eastAsia="宋体" w:hAnsi="Times New Roman"/>
          <w:color w:val="auto"/>
        </w:rPr>
        <w:t>外墙落水管和外挂锚固件的密封防水可参照预埋件处理。由于预埋件易产生变形，因此，</w:t>
      </w:r>
      <w:proofErr w:type="gramStart"/>
      <w:r>
        <w:rPr>
          <w:rFonts w:ascii="Times New Roman" w:eastAsia="宋体" w:hAnsi="Times New Roman"/>
          <w:color w:val="auto"/>
        </w:rPr>
        <w:t>后置埋件和</w:t>
      </w:r>
      <w:proofErr w:type="gramEnd"/>
      <w:r>
        <w:rPr>
          <w:rFonts w:ascii="Times New Roman" w:eastAsia="宋体" w:hAnsi="Times New Roman"/>
          <w:color w:val="auto"/>
        </w:rPr>
        <w:t>预埋件均需作密封增强处理以保证防水的整体性。</w:t>
      </w:r>
    </w:p>
    <w:p w14:paraId="024CD45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8.2.24  </w:t>
      </w:r>
      <w:r>
        <w:rPr>
          <w:rFonts w:ascii="Times New Roman" w:eastAsia="宋体" w:hAnsi="Times New Roman"/>
          <w:color w:val="auto"/>
        </w:rPr>
        <w:t>可采用增设柔性卷材附加层措施，卷材</w:t>
      </w:r>
      <w:proofErr w:type="gramStart"/>
      <w:r>
        <w:rPr>
          <w:rFonts w:ascii="Times New Roman" w:eastAsia="宋体" w:hAnsi="Times New Roman"/>
          <w:color w:val="auto"/>
        </w:rPr>
        <w:t>两端应满粘于</w:t>
      </w:r>
      <w:proofErr w:type="gramEnd"/>
      <w:r>
        <w:rPr>
          <w:rFonts w:ascii="Times New Roman" w:eastAsia="宋体" w:hAnsi="Times New Roman"/>
          <w:color w:val="auto"/>
        </w:rPr>
        <w:t>墙体，</w:t>
      </w:r>
      <w:proofErr w:type="gramStart"/>
      <w:r>
        <w:rPr>
          <w:rFonts w:ascii="Times New Roman" w:eastAsia="宋体" w:hAnsi="Times New Roman"/>
          <w:color w:val="auto"/>
        </w:rPr>
        <w:t>满粘宽度</w:t>
      </w:r>
      <w:proofErr w:type="gramEnd"/>
      <w:r>
        <w:rPr>
          <w:rFonts w:ascii="Times New Roman" w:eastAsia="宋体" w:hAnsi="Times New Roman"/>
          <w:color w:val="auto"/>
        </w:rPr>
        <w:t>不应小于</w:t>
      </w:r>
      <w:r>
        <w:rPr>
          <w:rFonts w:ascii="Times New Roman" w:eastAsia="宋体" w:hAnsi="Times New Roman"/>
          <w:color w:val="auto"/>
        </w:rPr>
        <w:t>150mm</w:t>
      </w:r>
      <w:r>
        <w:rPr>
          <w:rFonts w:ascii="Times New Roman" w:eastAsia="宋体" w:hAnsi="Times New Roman"/>
          <w:color w:val="auto"/>
        </w:rPr>
        <w:t>，并应</w:t>
      </w:r>
      <w:proofErr w:type="gramStart"/>
      <w:r>
        <w:rPr>
          <w:rFonts w:ascii="Times New Roman" w:eastAsia="宋体" w:hAnsi="Times New Roman"/>
          <w:color w:val="auto"/>
        </w:rPr>
        <w:t>钉压固定</w:t>
      </w:r>
      <w:proofErr w:type="gramEnd"/>
      <w:r>
        <w:rPr>
          <w:rFonts w:ascii="Times New Roman" w:eastAsia="宋体" w:hAnsi="Times New Roman"/>
          <w:color w:val="auto"/>
        </w:rPr>
        <w:t>，</w:t>
      </w:r>
      <w:proofErr w:type="gramStart"/>
      <w:r>
        <w:rPr>
          <w:rFonts w:ascii="Times New Roman" w:eastAsia="宋体" w:hAnsi="Times New Roman"/>
          <w:color w:val="auto"/>
        </w:rPr>
        <w:t>卷材收头应</w:t>
      </w:r>
      <w:proofErr w:type="gramEnd"/>
      <w:r>
        <w:rPr>
          <w:rFonts w:ascii="Times New Roman" w:eastAsia="宋体" w:hAnsi="Times New Roman"/>
          <w:color w:val="auto"/>
        </w:rPr>
        <w:t>采用密封材料密封，以达到封闭外墙变形缝的目的。</w:t>
      </w:r>
    </w:p>
    <w:p w14:paraId="587AE353"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8.2.27  </w:t>
      </w:r>
      <w:r>
        <w:rPr>
          <w:rFonts w:ascii="Times New Roman" w:eastAsia="宋体" w:hAnsi="Times New Roman"/>
          <w:color w:val="auto"/>
        </w:rPr>
        <w:t>淋水试验应按照</w:t>
      </w:r>
      <w:proofErr w:type="gramStart"/>
      <w:r>
        <w:rPr>
          <w:rFonts w:ascii="Times New Roman" w:eastAsia="宋体" w:hAnsi="Times New Roman"/>
          <w:color w:val="auto"/>
        </w:rPr>
        <w:t>现行行业</w:t>
      </w:r>
      <w:proofErr w:type="gramEnd"/>
      <w:r>
        <w:rPr>
          <w:rFonts w:ascii="Times New Roman" w:eastAsia="宋体" w:hAnsi="Times New Roman"/>
          <w:color w:val="auto"/>
        </w:rPr>
        <w:t>标准</w:t>
      </w:r>
      <w:r>
        <w:rPr>
          <w:rFonts w:ascii="Times New Roman" w:eastAsia="宋体" w:hAnsi="Times New Roman" w:hint="eastAsia"/>
          <w:color w:val="auto"/>
        </w:rPr>
        <w:t>《建筑防水工程现场检测技术规范》</w:t>
      </w:r>
      <w:r>
        <w:rPr>
          <w:rFonts w:ascii="Times New Roman" w:eastAsia="宋体" w:hAnsi="Times New Roman"/>
          <w:color w:val="auto"/>
        </w:rPr>
        <w:t xml:space="preserve">JGJ/T </w:t>
      </w:r>
      <w:r>
        <w:rPr>
          <w:rFonts w:ascii="Times New Roman" w:eastAsia="宋体" w:hAnsi="Times New Roman"/>
          <w:color w:val="auto"/>
        </w:rPr>
        <w:lastRenderedPageBreak/>
        <w:t>299</w:t>
      </w:r>
      <w:r>
        <w:rPr>
          <w:rFonts w:ascii="Times New Roman" w:eastAsia="宋体" w:hAnsi="Times New Roman"/>
          <w:color w:val="auto"/>
        </w:rPr>
        <w:t>的要求实施。墙面防水层完工后，会后续施工外墙保温工程、幕墙工程或外墙涂饰等外墙装饰工程，应保证后续工程施工未对墙面防水层造成破坏。</w:t>
      </w:r>
    </w:p>
    <w:p w14:paraId="7D6FB933" w14:textId="77777777" w:rsidR="00622EE7" w:rsidRDefault="00622EE7">
      <w:pPr>
        <w:pStyle w:val="af5"/>
        <w:rPr>
          <w:rFonts w:ascii="Times New Roman" w:eastAsia="宋体" w:hAnsi="Times New Roman"/>
          <w:color w:val="auto"/>
        </w:rPr>
      </w:pPr>
    </w:p>
    <w:p w14:paraId="4220C666" w14:textId="77777777" w:rsidR="00622EE7" w:rsidRDefault="00E60909">
      <w:pPr>
        <w:spacing w:beforeLines="50" w:before="156" w:afterLines="50" w:after="156" w:line="360" w:lineRule="auto"/>
        <w:jc w:val="center"/>
        <w:outlineLvl w:val="1"/>
        <w:rPr>
          <w:rFonts w:ascii="Times New Roman" w:eastAsia="黑体" w:hAnsi="Times New Roman"/>
        </w:rPr>
      </w:pPr>
      <w:bookmarkStart w:id="152" w:name="_Toc182841410"/>
      <w:bookmarkStart w:id="153" w:name="_Toc181092589"/>
      <w:r>
        <w:rPr>
          <w:rFonts w:ascii="Times New Roman" w:eastAsia="黑体" w:hAnsi="Times New Roman"/>
        </w:rPr>
        <w:t xml:space="preserve">8.3 </w:t>
      </w:r>
      <w:r>
        <w:rPr>
          <w:rFonts w:ascii="Times New Roman" w:eastAsia="黑体" w:hAnsi="Times New Roman" w:hint="eastAsia"/>
        </w:rPr>
        <w:t>保温</w:t>
      </w:r>
      <w:bookmarkEnd w:id="152"/>
      <w:bookmarkEnd w:id="153"/>
    </w:p>
    <w:p w14:paraId="7E680E0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8.3.4  </w:t>
      </w:r>
      <w:r>
        <w:rPr>
          <w:rFonts w:ascii="Times New Roman" w:eastAsia="宋体" w:hAnsi="Times New Roman"/>
          <w:color w:val="auto"/>
        </w:rPr>
        <w:t>样板工程不仅可以直观地看到和评判其质量与工艺状况，</w:t>
      </w:r>
      <w:r>
        <w:rPr>
          <w:rFonts w:ascii="Times New Roman" w:eastAsia="宋体" w:hAnsi="Times New Roman"/>
          <w:color w:val="auto"/>
        </w:rPr>
        <w:t xml:space="preserve"> </w:t>
      </w:r>
      <w:r>
        <w:rPr>
          <w:rFonts w:ascii="Times New Roman" w:eastAsia="宋体" w:hAnsi="Times New Roman"/>
          <w:color w:val="auto"/>
        </w:rPr>
        <w:t>还可以对材料、做法、效果等进行直接检查，并可以作为验收的参照实物标准，也是对作业人员技术交底</w:t>
      </w:r>
      <w:r>
        <w:rPr>
          <w:rFonts w:ascii="Times New Roman" w:eastAsia="宋体" w:hAnsi="Times New Roman" w:hint="eastAsia"/>
          <w:color w:val="auto"/>
        </w:rPr>
        <w:t>的</w:t>
      </w:r>
      <w:r>
        <w:rPr>
          <w:rFonts w:ascii="Times New Roman" w:eastAsia="宋体" w:hAnsi="Times New Roman"/>
          <w:color w:val="auto"/>
        </w:rPr>
        <w:t>过程。</w:t>
      </w:r>
    </w:p>
    <w:p w14:paraId="78EFB7C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8.3.6  </w:t>
      </w:r>
      <w:r>
        <w:rPr>
          <w:rFonts w:ascii="Times New Roman" w:eastAsia="宋体" w:hAnsi="Times New Roman"/>
          <w:color w:val="auto"/>
        </w:rPr>
        <w:t>当薄抹灰外保温系统采用燃烧性能等级为</w:t>
      </w:r>
      <w:r>
        <w:rPr>
          <w:rFonts w:ascii="Times New Roman" w:eastAsia="宋体" w:hAnsi="Times New Roman"/>
          <w:color w:val="auto"/>
        </w:rPr>
        <w:t>B1</w:t>
      </w:r>
      <w:r>
        <w:rPr>
          <w:rFonts w:ascii="Times New Roman" w:eastAsia="宋体" w:hAnsi="Times New Roman"/>
          <w:color w:val="auto"/>
        </w:rPr>
        <w:t>级的保温材料时，首层防护层厚度不应小于</w:t>
      </w:r>
      <w:r>
        <w:rPr>
          <w:rFonts w:ascii="Times New Roman" w:eastAsia="宋体" w:hAnsi="Times New Roman"/>
          <w:color w:val="auto"/>
        </w:rPr>
        <w:t xml:space="preserve">15mm, </w:t>
      </w:r>
      <w:r>
        <w:rPr>
          <w:rFonts w:ascii="Times New Roman" w:eastAsia="宋体" w:hAnsi="Times New Roman"/>
          <w:color w:val="auto"/>
        </w:rPr>
        <w:t>其他层防护层厚度不应小于</w:t>
      </w:r>
      <w:r>
        <w:rPr>
          <w:rFonts w:ascii="Times New Roman" w:eastAsia="宋体" w:hAnsi="Times New Roman"/>
          <w:color w:val="auto"/>
        </w:rPr>
        <w:t>5mm</w:t>
      </w:r>
      <w:r>
        <w:rPr>
          <w:rFonts w:ascii="Times New Roman" w:eastAsia="宋体" w:hAnsi="Times New Roman"/>
          <w:color w:val="auto"/>
        </w:rPr>
        <w:t>且不宜大于</w:t>
      </w:r>
      <w:r>
        <w:rPr>
          <w:rFonts w:ascii="Times New Roman" w:eastAsia="宋体" w:hAnsi="Times New Roman"/>
          <w:color w:val="auto"/>
        </w:rPr>
        <w:t xml:space="preserve">6mm, </w:t>
      </w:r>
      <w:r>
        <w:rPr>
          <w:rFonts w:ascii="Times New Roman" w:eastAsia="宋体" w:hAnsi="Times New Roman"/>
          <w:color w:val="auto"/>
        </w:rPr>
        <w:t>并应在外保温系统中每层设置水平防火隔</w:t>
      </w:r>
      <w:r>
        <w:rPr>
          <w:rFonts w:ascii="Times New Roman" w:eastAsia="宋体" w:hAnsi="Times New Roman"/>
          <w:color w:val="auto"/>
        </w:rPr>
        <w:t>离带。</w:t>
      </w:r>
    </w:p>
    <w:p w14:paraId="1F6A29D5"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防火隔离带在外保温系统发生火灾时应能有效阻隔火势的蔓延，同时防火隔离带应与基层墙体</w:t>
      </w:r>
      <w:proofErr w:type="gramStart"/>
      <w:r>
        <w:rPr>
          <w:rFonts w:ascii="Times New Roman" w:eastAsia="宋体" w:hAnsi="Times New Roman"/>
          <w:color w:val="auto"/>
        </w:rPr>
        <w:t>全面积</w:t>
      </w:r>
      <w:proofErr w:type="gramEnd"/>
      <w:r>
        <w:rPr>
          <w:rFonts w:ascii="Times New Roman" w:eastAsia="宋体" w:hAnsi="Times New Roman"/>
          <w:color w:val="auto"/>
        </w:rPr>
        <w:t>粘贴，其热工性能计算应确认不出现结露，并与外保温系统相容。</w:t>
      </w:r>
    </w:p>
    <w:p w14:paraId="46D3907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8.3.7  </w:t>
      </w:r>
      <w:r>
        <w:rPr>
          <w:rFonts w:ascii="Times New Roman" w:eastAsia="宋体" w:hAnsi="Times New Roman"/>
          <w:color w:val="auto"/>
        </w:rPr>
        <w:t>外保温系统构造做法针对竖直墙面和不受雨淋的水平或倾斜的表面。对于水平或倾斜的出挑部位，表面应进行防水处理。水平或倾斜的出挑部位包括窗台、女儿墙、阳台、雨篷等，这些部位有可能出现积水、积雪情况。</w:t>
      </w:r>
    </w:p>
    <w:p w14:paraId="3D592481"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当建筑物地面以下部分有保温要求时，地面以下及地面以上的</w:t>
      </w:r>
      <w:r>
        <w:rPr>
          <w:rFonts w:ascii="Times New Roman" w:eastAsia="宋体" w:hAnsi="Times New Roman"/>
          <w:color w:val="auto"/>
        </w:rPr>
        <w:t>300mm</w:t>
      </w:r>
      <w:r>
        <w:rPr>
          <w:rFonts w:ascii="Times New Roman" w:eastAsia="宋体" w:hAnsi="Times New Roman"/>
          <w:color w:val="auto"/>
        </w:rPr>
        <w:t>～</w:t>
      </w:r>
      <w:r>
        <w:rPr>
          <w:rFonts w:ascii="Times New Roman" w:eastAsia="宋体" w:hAnsi="Times New Roman"/>
          <w:color w:val="auto"/>
        </w:rPr>
        <w:t>600mm</w:t>
      </w:r>
      <w:r>
        <w:rPr>
          <w:rFonts w:ascii="Times New Roman" w:eastAsia="宋体" w:hAnsi="Times New Roman"/>
          <w:color w:val="auto"/>
        </w:rPr>
        <w:t>高度应进行保温处理，防护层也应具有防水功能。地面以下部分的外保温系统还应</w:t>
      </w:r>
      <w:r>
        <w:rPr>
          <w:rFonts w:ascii="Times New Roman" w:eastAsia="宋体" w:hAnsi="Times New Roman"/>
          <w:color w:val="auto"/>
        </w:rPr>
        <w:t>避免受到冻土压力的影响，外保温系统表面宜有防侧压保护。当建筑物地面以下部分无保温要求时，外保温系统起始高度应位于首层楼板以下</w:t>
      </w:r>
      <w:r>
        <w:rPr>
          <w:rFonts w:ascii="Times New Roman" w:eastAsia="宋体" w:hAnsi="Times New Roman"/>
          <w:color w:val="auto"/>
        </w:rPr>
        <w:t>500mm</w:t>
      </w:r>
      <w:r>
        <w:rPr>
          <w:rFonts w:ascii="Times New Roman" w:eastAsia="宋体" w:hAnsi="Times New Roman"/>
          <w:color w:val="auto"/>
        </w:rPr>
        <w:t>～</w:t>
      </w:r>
      <w:r>
        <w:rPr>
          <w:rFonts w:ascii="Times New Roman" w:eastAsia="宋体" w:hAnsi="Times New Roman"/>
          <w:color w:val="auto"/>
        </w:rPr>
        <w:t>800mm</w:t>
      </w:r>
      <w:r>
        <w:rPr>
          <w:rFonts w:ascii="Times New Roman" w:eastAsia="宋体" w:hAnsi="Times New Roman"/>
          <w:color w:val="auto"/>
        </w:rPr>
        <w:t>处，以避免出现热桥。</w:t>
      </w:r>
    </w:p>
    <w:p w14:paraId="1FDA407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8.3.8  </w:t>
      </w:r>
      <w:r>
        <w:rPr>
          <w:rFonts w:ascii="Times New Roman" w:eastAsia="宋体" w:hAnsi="Times New Roman"/>
          <w:color w:val="auto"/>
        </w:rPr>
        <w:t>门窗洞口</w:t>
      </w:r>
      <w:proofErr w:type="gramStart"/>
      <w:r>
        <w:rPr>
          <w:rFonts w:ascii="Times New Roman" w:eastAsia="宋体" w:hAnsi="Times New Roman"/>
          <w:color w:val="auto"/>
        </w:rPr>
        <w:t>四侧应进行</w:t>
      </w:r>
      <w:proofErr w:type="gramEnd"/>
      <w:r>
        <w:rPr>
          <w:rFonts w:ascii="Times New Roman" w:eastAsia="宋体" w:hAnsi="Times New Roman"/>
          <w:color w:val="auto"/>
        </w:rPr>
        <w:t>保温处理，门窗侧边保温宜覆盖一部分门窗框，以避免出现热桥。门窗四侧保温构造与门窗框之间应进行柔性防水密封处理。一般的处理方法是在完成后的保温系统与门窗框接缝处使用建筑密封</w:t>
      </w:r>
      <w:proofErr w:type="gramStart"/>
      <w:r>
        <w:rPr>
          <w:rFonts w:ascii="Times New Roman" w:eastAsia="宋体" w:hAnsi="Times New Roman"/>
          <w:color w:val="auto"/>
        </w:rPr>
        <w:t>膏进行</w:t>
      </w:r>
      <w:proofErr w:type="gramEnd"/>
      <w:r>
        <w:rPr>
          <w:rFonts w:ascii="Times New Roman" w:eastAsia="宋体" w:hAnsi="Times New Roman"/>
          <w:color w:val="auto"/>
        </w:rPr>
        <w:t>防水密封，更好的处理方法是在接缝处压入防水膨胀密封条或内置膨胀密封条等。</w:t>
      </w:r>
    </w:p>
    <w:p w14:paraId="12E788F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8.3.9  </w:t>
      </w:r>
      <w:r>
        <w:rPr>
          <w:rFonts w:ascii="Times New Roman" w:eastAsia="宋体" w:hAnsi="Times New Roman"/>
          <w:color w:val="auto"/>
        </w:rPr>
        <w:t>安装在外墙上的设施设备、</w:t>
      </w:r>
      <w:r>
        <w:rPr>
          <w:rFonts w:ascii="Times New Roman" w:eastAsia="宋体" w:hAnsi="Times New Roman"/>
          <w:color w:val="auto"/>
        </w:rPr>
        <w:t xml:space="preserve"> </w:t>
      </w:r>
      <w:r>
        <w:rPr>
          <w:rFonts w:ascii="Times New Roman" w:eastAsia="宋体" w:hAnsi="Times New Roman"/>
          <w:color w:val="auto"/>
        </w:rPr>
        <w:t>穿墙管线、装饰线脚或外</w:t>
      </w:r>
      <w:r>
        <w:rPr>
          <w:rFonts w:ascii="Times New Roman" w:eastAsia="宋体" w:hAnsi="Times New Roman"/>
          <w:color w:val="auto"/>
        </w:rPr>
        <w:t>遮阳产品、空调室外机托架等构件应固定于基层墙体上，并预留外保温系统的厚度。保温系统与构件之间应进行防水密封处理，可采用外涂建筑密封膏或内置膨胀密封条。</w:t>
      </w:r>
    </w:p>
    <w:p w14:paraId="577D677B"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各种穿墙电线、管道等应采用</w:t>
      </w:r>
      <w:r>
        <w:rPr>
          <w:rFonts w:ascii="Times New Roman" w:eastAsia="宋体" w:hAnsi="Times New Roman"/>
          <w:color w:val="auto"/>
        </w:rPr>
        <w:t>PVC</w:t>
      </w:r>
      <w:r>
        <w:rPr>
          <w:rFonts w:ascii="Times New Roman" w:eastAsia="宋体" w:hAnsi="Times New Roman"/>
          <w:color w:val="auto"/>
        </w:rPr>
        <w:t>预埋套管，套管应伸出墙面相当于外保</w:t>
      </w:r>
      <w:r>
        <w:rPr>
          <w:rFonts w:ascii="Times New Roman" w:eastAsia="宋体" w:hAnsi="Times New Roman"/>
          <w:color w:val="auto"/>
        </w:rPr>
        <w:lastRenderedPageBreak/>
        <w:t>温系统的厚度，并有往外向下的倾斜，保温系统与穿墙管线之间应进行防水密封处理，可采用外涂建筑密封膏或内置膨胀密封条。</w:t>
      </w:r>
    </w:p>
    <w:p w14:paraId="00F7C309"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外保温系统不应覆盖墙身变形缝，但外保温系统应进行变形缝的防水密封处理。密封和防水构造设计包括变形缝的设置、变形缝的构造设计以及外保温系统的起端和终端的包边等。</w:t>
      </w:r>
    </w:p>
    <w:p w14:paraId="3C01F29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8.3.10  </w:t>
      </w:r>
      <w:r>
        <w:rPr>
          <w:rFonts w:ascii="Times New Roman" w:eastAsia="宋体" w:hAnsi="Times New Roman"/>
          <w:color w:val="auto"/>
        </w:rPr>
        <w:t>门</w:t>
      </w:r>
      <w:r>
        <w:rPr>
          <w:rFonts w:ascii="Times New Roman" w:eastAsia="宋体" w:hAnsi="Times New Roman"/>
          <w:color w:val="auto"/>
        </w:rPr>
        <w:t>窗洞口四个侧边的外转角可采用包角条或</w:t>
      </w:r>
      <w:proofErr w:type="gramStart"/>
      <w:r>
        <w:rPr>
          <w:rFonts w:ascii="Times New Roman" w:eastAsia="宋体" w:hAnsi="Times New Roman"/>
          <w:color w:val="auto"/>
        </w:rPr>
        <w:t>双包网的</w:t>
      </w:r>
      <w:proofErr w:type="gramEnd"/>
      <w:r>
        <w:rPr>
          <w:rFonts w:ascii="Times New Roman" w:eastAsia="宋体" w:hAnsi="Times New Roman"/>
          <w:color w:val="auto"/>
        </w:rPr>
        <w:t>方式进行防撞加强处理，并可在洞口四角粘贴</w:t>
      </w:r>
      <w:r>
        <w:rPr>
          <w:rFonts w:ascii="Times New Roman" w:eastAsia="宋体" w:hAnsi="Times New Roman"/>
          <w:color w:val="auto"/>
        </w:rPr>
        <w:t>200mm×300mm</w:t>
      </w:r>
      <w:r>
        <w:rPr>
          <w:rFonts w:ascii="Times New Roman" w:eastAsia="宋体" w:hAnsi="Times New Roman"/>
          <w:color w:val="auto"/>
        </w:rPr>
        <w:t>的玻纤网进行防裂增强处理。墙身阴阳角均应进行增强处理，可以采用</w:t>
      </w:r>
      <w:proofErr w:type="gramStart"/>
      <w:r>
        <w:rPr>
          <w:rFonts w:ascii="Times New Roman" w:eastAsia="宋体" w:hAnsi="Times New Roman"/>
          <w:color w:val="auto"/>
        </w:rPr>
        <w:t>玻纤网双包</w:t>
      </w:r>
      <w:proofErr w:type="gramEnd"/>
      <w:r>
        <w:rPr>
          <w:rFonts w:ascii="Times New Roman" w:eastAsia="宋体" w:hAnsi="Times New Roman"/>
          <w:color w:val="auto"/>
        </w:rPr>
        <w:t>的方式。若增强玻纤</w:t>
      </w:r>
      <w:proofErr w:type="gramStart"/>
      <w:r>
        <w:rPr>
          <w:rFonts w:ascii="Times New Roman" w:eastAsia="宋体" w:hAnsi="Times New Roman"/>
          <w:color w:val="auto"/>
        </w:rPr>
        <w:t>网存在</w:t>
      </w:r>
      <w:proofErr w:type="gramEnd"/>
      <w:r>
        <w:rPr>
          <w:rFonts w:ascii="Times New Roman" w:eastAsia="宋体" w:hAnsi="Times New Roman"/>
          <w:color w:val="auto"/>
        </w:rPr>
        <w:t>搭接情况时，搭接长度不宜小于</w:t>
      </w:r>
      <w:r>
        <w:rPr>
          <w:rFonts w:ascii="Times New Roman" w:eastAsia="宋体" w:hAnsi="Times New Roman"/>
          <w:color w:val="auto"/>
        </w:rPr>
        <w:t>200mm</w:t>
      </w:r>
      <w:r>
        <w:rPr>
          <w:rFonts w:ascii="Times New Roman" w:eastAsia="宋体" w:hAnsi="Times New Roman"/>
          <w:color w:val="auto"/>
        </w:rPr>
        <w:t>。</w:t>
      </w:r>
    </w:p>
    <w:p w14:paraId="31C40E7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8.3.12  </w:t>
      </w:r>
      <w:r>
        <w:rPr>
          <w:rFonts w:ascii="Times New Roman" w:eastAsia="宋体" w:hAnsi="Times New Roman"/>
          <w:color w:val="auto"/>
        </w:rPr>
        <w:t>外保温系统的设计和安装是遵照系统供应原则的设计和安装说明进行的。整套组成材料都由系统供应商提供，系统供应商最终对整套组成材料负责。系统供应商应对外保温系统的所有组成部分</w:t>
      </w:r>
      <w:proofErr w:type="gramStart"/>
      <w:r>
        <w:rPr>
          <w:rFonts w:ascii="Times New Roman" w:eastAsia="宋体" w:hAnsi="Times New Roman"/>
          <w:color w:val="auto"/>
        </w:rPr>
        <w:t>作出</w:t>
      </w:r>
      <w:proofErr w:type="gramEnd"/>
      <w:r>
        <w:rPr>
          <w:rFonts w:ascii="Times New Roman" w:eastAsia="宋体" w:hAnsi="Times New Roman"/>
          <w:color w:val="auto"/>
        </w:rPr>
        <w:t>规定。</w:t>
      </w:r>
    </w:p>
    <w:p w14:paraId="496B52A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8.3.13  </w:t>
      </w:r>
      <w:r>
        <w:rPr>
          <w:rFonts w:ascii="Times New Roman" w:eastAsia="宋体" w:hAnsi="Times New Roman"/>
          <w:color w:val="auto"/>
        </w:rPr>
        <w:t>保温装饰一体化板由装饰面板、保温材料、黏合剂和锚固构造等</w:t>
      </w:r>
      <w:r>
        <w:rPr>
          <w:rFonts w:ascii="Times New Roman" w:eastAsia="宋体" w:hAnsi="Times New Roman"/>
          <w:color w:val="auto"/>
        </w:rPr>
        <w:t>在工厂复合成型，装饰材料多为无石棉硅酸钙板、无石棉纤维水泥平板、镀铝</w:t>
      </w:r>
      <w:proofErr w:type="gramStart"/>
      <w:r>
        <w:rPr>
          <w:rFonts w:ascii="Times New Roman" w:eastAsia="宋体" w:hAnsi="Times New Roman"/>
          <w:color w:val="auto"/>
        </w:rPr>
        <w:t>锌</w:t>
      </w:r>
      <w:proofErr w:type="gramEnd"/>
      <w:r>
        <w:rPr>
          <w:rFonts w:ascii="Times New Roman" w:eastAsia="宋体" w:hAnsi="Times New Roman"/>
          <w:color w:val="auto"/>
        </w:rPr>
        <w:t>钢板、铝合金板、薄石材、陶瓷薄板等面板，保温材料多为岩棉条、</w:t>
      </w:r>
      <w:proofErr w:type="gramStart"/>
      <w:r>
        <w:rPr>
          <w:rFonts w:ascii="Times New Roman" w:eastAsia="宋体" w:hAnsi="Times New Roman"/>
          <w:color w:val="auto"/>
        </w:rPr>
        <w:t>热固复合</w:t>
      </w:r>
      <w:proofErr w:type="gramEnd"/>
      <w:r>
        <w:rPr>
          <w:rFonts w:ascii="Times New Roman" w:eastAsia="宋体" w:hAnsi="Times New Roman"/>
          <w:color w:val="auto"/>
        </w:rPr>
        <w:t>聚苯板、真空绝热板、硬泡聚氨酯或酚醛泡沫等。</w:t>
      </w:r>
    </w:p>
    <w:p w14:paraId="354EBAB1"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当采用装配式混凝土建筑体系，且应用结构保温一体化系统时，应符合</w:t>
      </w:r>
      <w:proofErr w:type="gramStart"/>
      <w:r>
        <w:rPr>
          <w:rFonts w:ascii="Times New Roman" w:eastAsia="宋体" w:hAnsi="Times New Roman"/>
          <w:color w:val="auto"/>
        </w:rPr>
        <w:t>现行行业</w:t>
      </w:r>
      <w:proofErr w:type="gramEnd"/>
      <w:r>
        <w:rPr>
          <w:rFonts w:ascii="Times New Roman" w:eastAsia="宋体" w:hAnsi="Times New Roman"/>
          <w:color w:val="auto"/>
        </w:rPr>
        <w:t>标准《装配式混凝土建筑技术标准》</w:t>
      </w:r>
      <w:r>
        <w:rPr>
          <w:rFonts w:ascii="Times New Roman" w:eastAsia="宋体" w:hAnsi="Times New Roman"/>
          <w:color w:val="auto"/>
        </w:rPr>
        <w:t>GB/T 51231</w:t>
      </w:r>
      <w:r>
        <w:rPr>
          <w:rFonts w:ascii="Times New Roman" w:eastAsia="宋体" w:hAnsi="Times New Roman"/>
          <w:color w:val="auto"/>
        </w:rPr>
        <w:t>的规定；</w:t>
      </w:r>
      <w:proofErr w:type="gramStart"/>
      <w:r>
        <w:rPr>
          <w:rFonts w:ascii="Times New Roman" w:eastAsia="宋体" w:hAnsi="Times New Roman"/>
          <w:color w:val="auto"/>
        </w:rPr>
        <w:t>当结构</w:t>
      </w:r>
      <w:proofErr w:type="gramEnd"/>
      <w:r>
        <w:rPr>
          <w:rFonts w:ascii="Times New Roman" w:eastAsia="宋体" w:hAnsi="Times New Roman"/>
          <w:color w:val="auto"/>
        </w:rPr>
        <w:t>保温一体化采用钢丝网架混凝土复合板结构时，应符合</w:t>
      </w:r>
      <w:proofErr w:type="gramStart"/>
      <w:r>
        <w:rPr>
          <w:rFonts w:ascii="Times New Roman" w:eastAsia="宋体" w:hAnsi="Times New Roman"/>
          <w:color w:val="auto"/>
        </w:rPr>
        <w:t>现行行业</w:t>
      </w:r>
      <w:proofErr w:type="gramEnd"/>
      <w:r>
        <w:rPr>
          <w:rFonts w:ascii="Times New Roman" w:eastAsia="宋体" w:hAnsi="Times New Roman"/>
          <w:color w:val="auto"/>
        </w:rPr>
        <w:t>标准《钢丝网架混凝土复合板结构技术规程》</w:t>
      </w:r>
      <w:r>
        <w:rPr>
          <w:rFonts w:ascii="Times New Roman" w:eastAsia="宋体" w:hAnsi="Times New Roman"/>
          <w:color w:val="auto"/>
        </w:rPr>
        <w:t>JGJ/T 273</w:t>
      </w:r>
      <w:r>
        <w:rPr>
          <w:rFonts w:ascii="Times New Roman" w:eastAsia="宋体" w:hAnsi="Times New Roman"/>
          <w:color w:val="auto"/>
        </w:rPr>
        <w:t>的规定；当采用自保温混凝土复合砌块墙体时，应符合</w:t>
      </w:r>
      <w:proofErr w:type="gramStart"/>
      <w:r>
        <w:rPr>
          <w:rFonts w:ascii="Times New Roman" w:eastAsia="宋体" w:hAnsi="Times New Roman"/>
          <w:color w:val="auto"/>
        </w:rPr>
        <w:t>现行行业</w:t>
      </w:r>
      <w:proofErr w:type="gramEnd"/>
      <w:r>
        <w:rPr>
          <w:rFonts w:ascii="Times New Roman" w:eastAsia="宋体" w:hAnsi="Times New Roman"/>
          <w:color w:val="auto"/>
        </w:rPr>
        <w:t>标准《自保温混凝土复合</w:t>
      </w:r>
      <w:r>
        <w:rPr>
          <w:rFonts w:ascii="Times New Roman" w:eastAsia="宋体" w:hAnsi="Times New Roman"/>
          <w:color w:val="auto"/>
        </w:rPr>
        <w:t>砌块墙体应用技术规程》</w:t>
      </w:r>
      <w:r>
        <w:rPr>
          <w:rFonts w:ascii="Times New Roman" w:eastAsia="宋体" w:hAnsi="Times New Roman"/>
          <w:color w:val="auto"/>
        </w:rPr>
        <w:t>JGJ/T 323</w:t>
      </w:r>
      <w:r>
        <w:rPr>
          <w:rFonts w:ascii="Times New Roman" w:eastAsia="宋体" w:hAnsi="Times New Roman"/>
          <w:color w:val="auto"/>
        </w:rPr>
        <w:t>的规定。</w:t>
      </w:r>
    </w:p>
    <w:p w14:paraId="285CF2F7" w14:textId="77777777" w:rsidR="00622EE7" w:rsidRDefault="00E60909">
      <w:pPr>
        <w:spacing w:beforeLines="50" w:before="156" w:afterLines="50" w:after="156" w:line="360" w:lineRule="auto"/>
        <w:jc w:val="center"/>
        <w:outlineLvl w:val="1"/>
        <w:rPr>
          <w:rFonts w:ascii="Times New Roman" w:eastAsia="黑体" w:hAnsi="Times New Roman"/>
        </w:rPr>
      </w:pPr>
      <w:bookmarkStart w:id="154" w:name="_Toc182841411"/>
      <w:bookmarkStart w:id="155" w:name="_Toc181092590"/>
      <w:r>
        <w:rPr>
          <w:rFonts w:ascii="Times New Roman" w:eastAsia="黑体" w:hAnsi="Times New Roman"/>
        </w:rPr>
        <w:t xml:space="preserve">8.4 </w:t>
      </w:r>
      <w:r>
        <w:rPr>
          <w:rFonts w:ascii="Times New Roman" w:eastAsia="黑体" w:hAnsi="Times New Roman" w:hint="eastAsia"/>
        </w:rPr>
        <w:t>装饰装修</w:t>
      </w:r>
      <w:bookmarkEnd w:id="154"/>
      <w:bookmarkEnd w:id="155"/>
    </w:p>
    <w:p w14:paraId="10E1BF55" w14:textId="77777777" w:rsidR="00622EE7" w:rsidRDefault="00E60909">
      <w:pPr>
        <w:pStyle w:val="af8"/>
      </w:pPr>
      <w:r>
        <w:rPr>
          <w:b/>
        </w:rPr>
        <w:t xml:space="preserve">8.4.5  </w:t>
      </w:r>
      <w:r>
        <w:t>有条件的项目，宜采用干挂的施工工艺，并确保施工质量，墙面地面均采用瓷砖饰面时，应进行墙地对缝设计。</w:t>
      </w:r>
    </w:p>
    <w:p w14:paraId="3F75CBF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8.4.10  </w:t>
      </w:r>
      <w:r>
        <w:rPr>
          <w:rFonts w:ascii="Times New Roman" w:eastAsia="宋体" w:hAnsi="Times New Roman"/>
          <w:color w:val="auto"/>
        </w:rPr>
        <w:t>分隔建筑室内外的玻璃门窗、防护栏杆等位置采用安全玻璃，室内玻璃隔断、玻璃护栏等采用夹胶钢化玻璃以防止自曝伤人。内开窗的窗扇容易磕伤使用者，尤其是身高较低的儿童，采用窗扇护角可以一定程度上降低磕碰造成的损害，尤其是老年人日间照料中心和儿童活动室、社区活动用房等老年人、幼儿活</w:t>
      </w:r>
      <w:r>
        <w:rPr>
          <w:rFonts w:ascii="Times New Roman" w:eastAsia="宋体" w:hAnsi="Times New Roman"/>
          <w:color w:val="auto"/>
        </w:rPr>
        <w:lastRenderedPageBreak/>
        <w:t>动较为集中的位置更需要设置。</w:t>
      </w:r>
    </w:p>
    <w:p w14:paraId="251D8889" w14:textId="77777777" w:rsidR="00622EE7" w:rsidRDefault="00E60909">
      <w:pPr>
        <w:pStyle w:val="af8"/>
      </w:pPr>
      <w:r>
        <w:rPr>
          <w:b/>
        </w:rPr>
        <w:t>8.4.12</w:t>
      </w:r>
      <w:r>
        <w:rPr>
          <w:b/>
        </w:rPr>
        <w:t xml:space="preserve">  </w:t>
      </w:r>
      <w:proofErr w:type="gramStart"/>
      <w:r>
        <w:t>现行行业</w:t>
      </w:r>
      <w:proofErr w:type="gramEnd"/>
      <w:r>
        <w:t>标准《铝合金门窗工程技术规范》</w:t>
      </w:r>
      <w:r>
        <w:t>JGJ 214-2010</w:t>
      </w:r>
      <w:r>
        <w:t>中规定，铝合金门的反复启闭次数不少于</w:t>
      </w:r>
      <w:r>
        <w:t>10</w:t>
      </w:r>
      <w:r>
        <w:t>万次，窗的反复启闭次数不少于</w:t>
      </w:r>
      <w:r>
        <w:t>1</w:t>
      </w:r>
      <w:r>
        <w:t>万次，现行国家标准《绿色建筑评价标准》</w:t>
      </w:r>
      <w:r>
        <w:t>GB/T 50378-2019</w:t>
      </w:r>
      <w:r>
        <w:rPr>
          <w:rFonts w:hint="eastAsia"/>
        </w:rPr>
        <w:t>（</w:t>
      </w:r>
      <w:r>
        <w:rPr>
          <w:rFonts w:hint="eastAsia"/>
        </w:rPr>
        <w:t>2</w:t>
      </w:r>
      <w:r>
        <w:t>024</w:t>
      </w:r>
      <w:r>
        <w:rPr>
          <w:rFonts w:hint="eastAsia"/>
        </w:rPr>
        <w:t>年版）</w:t>
      </w:r>
      <w:r>
        <w:t>在</w:t>
      </w:r>
      <w:r>
        <w:t>4.2.7</w:t>
      </w:r>
      <w:r>
        <w:t>的条文说明提出要求门窗的反复启闭性能达到相应产品标准要求的</w:t>
      </w:r>
      <w:r>
        <w:t>2</w:t>
      </w:r>
      <w:r>
        <w:t>倍，根据当前门窗产品的发展水平，适度提高门窗反复启闭次数，增加门窗产品的耐久性。</w:t>
      </w:r>
    </w:p>
    <w:p w14:paraId="790BBB2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8.4.14  </w:t>
      </w:r>
      <w:r>
        <w:rPr>
          <w:rFonts w:ascii="Times New Roman" w:eastAsia="宋体" w:hAnsi="Times New Roman"/>
          <w:color w:val="auto"/>
        </w:rPr>
        <w:t>消防设施多设置在地下车库，为防止消防设施在冬季因冻害无法使用而增设加热设备，将会消耗大量能源，因此推荐设置升降门等冷空气隔</w:t>
      </w:r>
      <w:r>
        <w:rPr>
          <w:rFonts w:ascii="Times New Roman" w:eastAsia="宋体" w:hAnsi="Times New Roman"/>
          <w:color w:val="auto"/>
        </w:rPr>
        <w:t>断措施，并合理设置管道电伴热措施，同时设置升降门也可以提升地下车库内的舒适度。</w:t>
      </w:r>
    </w:p>
    <w:p w14:paraId="5217704E"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8</w:t>
      </w:r>
      <w:r>
        <w:rPr>
          <w:rFonts w:ascii="Times New Roman" w:eastAsia="宋体" w:hAnsi="Times New Roman"/>
          <w:b/>
          <w:color w:val="auto"/>
        </w:rPr>
        <w:t>.4.15</w:t>
      </w:r>
      <w:r>
        <w:rPr>
          <w:rFonts w:ascii="Times New Roman" w:eastAsia="宋体" w:hAnsi="Times New Roman"/>
          <w:color w:val="auto"/>
        </w:rPr>
        <w:t xml:space="preserve">  </w:t>
      </w:r>
      <w:r>
        <w:rPr>
          <w:rFonts w:ascii="Times New Roman" w:eastAsia="宋体" w:hAnsi="Times New Roman" w:hint="eastAsia"/>
          <w:color w:val="auto"/>
        </w:rPr>
        <w:t>如采用电伴热等措施，防止因雪大车辆</w:t>
      </w:r>
      <w:proofErr w:type="gramStart"/>
      <w:r>
        <w:rPr>
          <w:rFonts w:ascii="Times New Roman" w:eastAsia="宋体" w:hAnsi="Times New Roman" w:hint="eastAsia"/>
          <w:color w:val="auto"/>
        </w:rPr>
        <w:t>多导致</w:t>
      </w:r>
      <w:proofErr w:type="gramEnd"/>
      <w:r>
        <w:rPr>
          <w:rFonts w:ascii="Times New Roman" w:eastAsia="宋体" w:hAnsi="Times New Roman" w:hint="eastAsia"/>
          <w:color w:val="auto"/>
        </w:rPr>
        <w:t>车辆滑移。</w:t>
      </w:r>
    </w:p>
    <w:p w14:paraId="683C2F88" w14:textId="77777777" w:rsidR="00622EE7" w:rsidRDefault="00E60909">
      <w:pPr>
        <w:pStyle w:val="1"/>
      </w:pPr>
      <w:bookmarkStart w:id="156" w:name="_Toc182841412"/>
      <w:bookmarkStart w:id="157" w:name="_Toc181092591"/>
      <w:r>
        <w:lastRenderedPageBreak/>
        <w:t xml:space="preserve">9 </w:t>
      </w:r>
      <w:r>
        <w:rPr>
          <w:rFonts w:hint="eastAsia"/>
        </w:rPr>
        <w:t xml:space="preserve"> </w:t>
      </w:r>
      <w:r>
        <w:rPr>
          <w:rFonts w:hint="eastAsia"/>
        </w:rPr>
        <w:t>给水排水</w:t>
      </w:r>
      <w:bookmarkEnd w:id="156"/>
      <w:bookmarkEnd w:id="157"/>
    </w:p>
    <w:p w14:paraId="67F87462" w14:textId="77777777" w:rsidR="00622EE7" w:rsidRDefault="00E60909">
      <w:pPr>
        <w:spacing w:beforeLines="50" w:before="156" w:afterLines="50" w:after="156" w:line="360" w:lineRule="auto"/>
        <w:jc w:val="center"/>
        <w:outlineLvl w:val="1"/>
        <w:rPr>
          <w:rFonts w:eastAsia="黑体"/>
        </w:rPr>
      </w:pPr>
      <w:bookmarkStart w:id="158" w:name="_Toc181092592"/>
      <w:bookmarkStart w:id="159" w:name="_Toc182841413"/>
      <w:r>
        <w:rPr>
          <w:rFonts w:ascii="Times New Roman" w:eastAsia="黑体" w:hAnsi="Times New Roman" w:hint="eastAsia"/>
        </w:rPr>
        <w:t>9</w:t>
      </w:r>
      <w:r>
        <w:rPr>
          <w:rFonts w:ascii="Times New Roman" w:eastAsia="黑体" w:hAnsi="Times New Roman"/>
        </w:rPr>
        <w:t xml:space="preserve">.1 </w:t>
      </w:r>
      <w:r>
        <w:rPr>
          <w:rFonts w:ascii="Times New Roman" w:eastAsia="黑体" w:hAnsi="Times New Roman" w:hint="eastAsia"/>
        </w:rPr>
        <w:t xml:space="preserve"> </w:t>
      </w:r>
      <w:r>
        <w:rPr>
          <w:rFonts w:ascii="Times New Roman" w:eastAsia="黑体" w:hAnsi="Times New Roman" w:hint="eastAsia"/>
        </w:rPr>
        <w:t>给水</w:t>
      </w:r>
      <w:bookmarkEnd w:id="158"/>
      <w:bookmarkEnd w:id="159"/>
    </w:p>
    <w:p w14:paraId="4195B6BB" w14:textId="77777777" w:rsidR="00622EE7" w:rsidRDefault="00E60909">
      <w:pPr>
        <w:pStyle w:val="afa"/>
        <w:spacing w:before="78" w:line="360" w:lineRule="auto"/>
        <w:ind w:firstLineChars="0" w:firstLine="0"/>
        <w:rPr>
          <w:rFonts w:ascii="Times New Roman" w:hAnsi="Times New Roman"/>
          <w:kern w:val="2"/>
          <w:sz w:val="24"/>
          <w:szCs w:val="22"/>
        </w:rPr>
      </w:pPr>
      <w:r>
        <w:rPr>
          <w:rFonts w:ascii="Times New Roman" w:hAnsi="Times New Roman"/>
          <w:b/>
          <w:sz w:val="24"/>
          <w:szCs w:val="24"/>
        </w:rPr>
        <w:t xml:space="preserve">9.1.1  </w:t>
      </w:r>
      <w:r>
        <w:rPr>
          <w:rFonts w:ascii="Times New Roman" w:hAnsi="Times New Roman"/>
          <w:kern w:val="2"/>
          <w:sz w:val="24"/>
          <w:szCs w:val="22"/>
        </w:rPr>
        <w:t>在进行高品质住宅设计前，应充分了解项目所在区域的市政给排水条件、水资源状况、气候特点等实际情况，通过全面的分析研究制订水资源利用方案，提高水资源循环利用率，减少市政供水量和污水排放量。水资源综合利用方案的具体编制内容可参照下列几个方面：</w:t>
      </w:r>
    </w:p>
    <w:p w14:paraId="279009B0"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政府规定的节水要求、地区水资源状况、气象资料地质条件等；</w:t>
      </w:r>
    </w:p>
    <w:p w14:paraId="5BD0720A"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项目概况及市政设施情况等的说明；</w:t>
      </w:r>
    </w:p>
    <w:p w14:paraId="66B3BFF3"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确定节水用水定额，编制用水量计算表：给排水系统方案设计说明，包括生活热水中可再生能源系统的使用范围、系统形式以及景观水体补水及循环处理工艺等；采用节水器具、设备和系统的方案；</w:t>
      </w:r>
    </w:p>
    <w:p w14:paraId="18D7B0B6"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如有污</w:t>
      </w:r>
      <w:r>
        <w:rPr>
          <w:rFonts w:ascii="Times New Roman" w:eastAsia="宋体" w:hAnsi="Times New Roman"/>
          <w:kern w:val="2"/>
          <w:sz w:val="24"/>
        </w:rPr>
        <w:t>水处理系统应有相关的设计说明；</w:t>
      </w:r>
    </w:p>
    <w:p w14:paraId="25A2EB05"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雨水控制与利用实施方案；</w:t>
      </w:r>
    </w:p>
    <w:p w14:paraId="761EDB6E"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非传统水源利用方案。对雨水、再生水等水资源利用的技术经济可行性进行分析，进行水量平衡计算，确定雨水、再生水等水资源的利用方法、规模、处理工艺流程等。非传统水源利用率计算应根据国家标准《民用建筑节水设计标准》</w:t>
      </w:r>
      <w:r>
        <w:rPr>
          <w:rFonts w:ascii="Times New Roman" w:eastAsia="宋体" w:hAnsi="Times New Roman"/>
          <w:kern w:val="2"/>
          <w:sz w:val="24"/>
        </w:rPr>
        <w:t>GB 50555-2010</w:t>
      </w:r>
      <w:r>
        <w:rPr>
          <w:rFonts w:ascii="Times New Roman" w:eastAsia="宋体" w:hAnsi="Times New Roman"/>
          <w:kern w:val="2"/>
          <w:sz w:val="24"/>
        </w:rPr>
        <w:t>第</w:t>
      </w:r>
      <w:r>
        <w:rPr>
          <w:rFonts w:ascii="Times New Roman" w:eastAsia="宋体" w:hAnsi="Times New Roman"/>
          <w:kern w:val="2"/>
          <w:sz w:val="24"/>
        </w:rPr>
        <w:t>5.1</w:t>
      </w:r>
      <w:r>
        <w:rPr>
          <w:rFonts w:ascii="Times New Roman" w:eastAsia="宋体" w:hAnsi="Times New Roman"/>
          <w:kern w:val="2"/>
          <w:sz w:val="24"/>
        </w:rPr>
        <w:t>节的规定计算。</w:t>
      </w:r>
    </w:p>
    <w:p w14:paraId="18D50925"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9.1.3  </w:t>
      </w:r>
      <w:r>
        <w:rPr>
          <w:rFonts w:ascii="Times New Roman" w:hAnsi="Times New Roman"/>
          <w:sz w:val="24"/>
          <w:szCs w:val="24"/>
        </w:rPr>
        <w:t>住宅生活用水定额与气候条件、水资源状况、经济环境、生活习惯、住宅类别和建设标准等因素有关，设计选用时应综合考虑。《建筑给水排水设计标准》</w:t>
      </w:r>
      <w:r>
        <w:rPr>
          <w:rFonts w:ascii="Times New Roman" w:hAnsi="Times New Roman"/>
          <w:sz w:val="24"/>
          <w:szCs w:val="24"/>
        </w:rPr>
        <w:t>GB 50015</w:t>
      </w:r>
      <w:r>
        <w:rPr>
          <w:rFonts w:ascii="Times New Roman" w:hAnsi="Times New Roman"/>
          <w:sz w:val="24"/>
          <w:szCs w:val="24"/>
        </w:rPr>
        <w:t>中的住宅日生活用水定额是按住宅类</w:t>
      </w:r>
      <w:r>
        <w:rPr>
          <w:rFonts w:ascii="Times New Roman" w:hAnsi="Times New Roman"/>
          <w:sz w:val="24"/>
          <w:szCs w:val="24"/>
        </w:rPr>
        <w:t>别、建筑标准、卫生器具设置标准考虑的；在此基础上，还需考虑</w:t>
      </w:r>
      <w:r>
        <w:rPr>
          <w:rFonts w:ascii="Times New Roman" w:hAnsi="Times New Roman" w:hint="eastAsia"/>
          <w:sz w:val="24"/>
          <w:szCs w:val="24"/>
        </w:rPr>
        <w:t>康巴什区</w:t>
      </w:r>
      <w:r>
        <w:rPr>
          <w:rFonts w:ascii="Times New Roman" w:hAnsi="Times New Roman"/>
          <w:sz w:val="24"/>
          <w:szCs w:val="24"/>
        </w:rPr>
        <w:t>的水资源情况及城市规模等因素，按照国家标准《民用建筑节水设计标准》</w:t>
      </w:r>
      <w:r>
        <w:rPr>
          <w:rFonts w:ascii="Times New Roman" w:hAnsi="Times New Roman"/>
          <w:sz w:val="24"/>
          <w:szCs w:val="24"/>
        </w:rPr>
        <w:t xml:space="preserve">GB 50555 </w:t>
      </w:r>
      <w:r>
        <w:rPr>
          <w:rFonts w:ascii="Times New Roman" w:hAnsi="Times New Roman"/>
          <w:sz w:val="24"/>
          <w:szCs w:val="24"/>
        </w:rPr>
        <w:t>执行。</w:t>
      </w:r>
    </w:p>
    <w:p w14:paraId="3FCC7F6C" w14:textId="77777777" w:rsidR="00622EE7" w:rsidRDefault="00E60909">
      <w:pPr>
        <w:pStyle w:val="afa"/>
        <w:spacing w:before="78" w:line="360" w:lineRule="auto"/>
        <w:ind w:left="56" w:firstLineChars="0" w:firstLine="0"/>
        <w:rPr>
          <w:rFonts w:ascii="Times New Roman" w:hAnsi="Times New Roman"/>
          <w:sz w:val="24"/>
          <w:szCs w:val="24"/>
        </w:rPr>
      </w:pPr>
      <w:r>
        <w:rPr>
          <w:rFonts w:ascii="Times New Roman" w:hAnsi="Times New Roman"/>
          <w:b/>
          <w:sz w:val="24"/>
          <w:szCs w:val="24"/>
        </w:rPr>
        <w:t xml:space="preserve">9.1.4  </w:t>
      </w:r>
      <w:r>
        <w:rPr>
          <w:rFonts w:ascii="Times New Roman" w:hAnsi="Times New Roman"/>
          <w:sz w:val="24"/>
          <w:szCs w:val="24"/>
        </w:rPr>
        <w:t>二次供水是目前各类居住建筑主要采用的生活饮用水供水方式。储水设施是建筑生活饮用水二次供水设施水质安全保障的关键环节。</w:t>
      </w:r>
    </w:p>
    <w:p w14:paraId="234127CE"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9.1.6  </w:t>
      </w:r>
      <w:r>
        <w:rPr>
          <w:rFonts w:ascii="Times New Roman" w:hAnsi="Times New Roman"/>
          <w:sz w:val="24"/>
          <w:szCs w:val="24"/>
        </w:rPr>
        <w:t>公共空间取水点是考虑后期物业保洁的可行性和方便性。在具体布置时，考虑到管理要求，</w:t>
      </w:r>
      <w:proofErr w:type="gramStart"/>
      <w:r>
        <w:rPr>
          <w:rFonts w:ascii="Times New Roman" w:hAnsi="Times New Roman"/>
          <w:sz w:val="24"/>
          <w:szCs w:val="24"/>
        </w:rPr>
        <w:t>宜设置</w:t>
      </w:r>
      <w:proofErr w:type="gramEnd"/>
      <w:r>
        <w:rPr>
          <w:rFonts w:ascii="Times New Roman" w:hAnsi="Times New Roman"/>
          <w:sz w:val="24"/>
          <w:szCs w:val="24"/>
        </w:rPr>
        <w:t>在封闭上锁的空间，</w:t>
      </w:r>
      <w:proofErr w:type="gramStart"/>
      <w:r>
        <w:rPr>
          <w:rFonts w:ascii="Times New Roman" w:hAnsi="Times New Roman"/>
          <w:sz w:val="24"/>
          <w:szCs w:val="24"/>
        </w:rPr>
        <w:t>宜设置</w:t>
      </w:r>
      <w:proofErr w:type="gramEnd"/>
      <w:r>
        <w:rPr>
          <w:rFonts w:ascii="Times New Roman" w:hAnsi="Times New Roman"/>
          <w:sz w:val="24"/>
          <w:szCs w:val="24"/>
        </w:rPr>
        <w:t>在水管井，当设置取水点时，应设置地漏。</w:t>
      </w:r>
    </w:p>
    <w:p w14:paraId="15A0CDF3" w14:textId="77777777" w:rsidR="00622EE7" w:rsidRDefault="00E60909">
      <w:pPr>
        <w:pStyle w:val="af3"/>
        <w:spacing w:beforeLines="25" w:before="78"/>
        <w:ind w:firstLineChars="0" w:firstLine="0"/>
        <w:contextualSpacing/>
      </w:pPr>
      <w:r>
        <w:rPr>
          <w:b/>
          <w:szCs w:val="24"/>
        </w:rPr>
        <w:lastRenderedPageBreak/>
        <w:t xml:space="preserve">9.1.8  </w:t>
      </w:r>
      <w:r>
        <w:rPr>
          <w:szCs w:val="24"/>
        </w:rPr>
        <w:t>为了后期管线维修的方便性，在建筑设计时应充分预留公共管井的维修空间。需进人维修管井的工作通道净宽度不应小于</w:t>
      </w:r>
      <w:r>
        <w:rPr>
          <w:szCs w:val="24"/>
        </w:rPr>
        <w:t>0.6m</w:t>
      </w:r>
      <w:r>
        <w:rPr>
          <w:szCs w:val="24"/>
        </w:rPr>
        <w:t>。有条件时可做成面宽较宽、进深较短的布局方式，在管井长向的墙面开门，墙面全部打开，节省检修空间。</w:t>
      </w:r>
    </w:p>
    <w:p w14:paraId="55099B06"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9.1.9  </w:t>
      </w:r>
      <w:r>
        <w:rPr>
          <w:rFonts w:ascii="Times New Roman" w:hAnsi="Times New Roman"/>
          <w:sz w:val="24"/>
          <w:szCs w:val="24"/>
        </w:rPr>
        <w:t>当建筑需要加压供水时，应采用节能的供水措施，采用管网叠压供水时应取得建设项目所在地相关主管部门的同意。</w:t>
      </w:r>
    </w:p>
    <w:p w14:paraId="6C8D1469" w14:textId="77777777" w:rsidR="00622EE7" w:rsidRDefault="00E60909">
      <w:pPr>
        <w:pStyle w:val="afa"/>
        <w:spacing w:before="78" w:line="360" w:lineRule="auto"/>
        <w:ind w:firstLineChars="0" w:firstLine="0"/>
        <w:rPr>
          <w:rFonts w:ascii="Times New Roman" w:hAnsi="Times New Roman"/>
        </w:rPr>
      </w:pPr>
      <w:r>
        <w:rPr>
          <w:rFonts w:ascii="Times New Roman" w:hAnsi="Times New Roman"/>
          <w:b/>
          <w:sz w:val="24"/>
          <w:szCs w:val="24"/>
        </w:rPr>
        <w:t xml:space="preserve">9.1.10  </w:t>
      </w:r>
      <w:r>
        <w:rPr>
          <w:rFonts w:ascii="Times New Roman" w:hAnsi="Times New Roman"/>
          <w:sz w:val="24"/>
          <w:szCs w:val="24"/>
        </w:rPr>
        <w:t>采</w:t>
      </w:r>
      <w:r>
        <w:rPr>
          <w:rFonts w:ascii="Times New Roman" w:hAnsi="Times New Roman"/>
          <w:sz w:val="24"/>
          <w:szCs w:val="24"/>
        </w:rPr>
        <w:t>用节水型卫生器具和配件是高品质住宅节水的重要措施。配套服务设施和全装修交付的住宅需符合以上规定。</w:t>
      </w:r>
    </w:p>
    <w:p w14:paraId="7B54FB2C"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9.1.11  </w:t>
      </w:r>
      <w:r>
        <w:rPr>
          <w:rFonts w:ascii="Times New Roman" w:hAnsi="Times New Roman"/>
          <w:sz w:val="24"/>
          <w:szCs w:val="24"/>
        </w:rPr>
        <w:t>给水系统使用耐腐蚀、耐久性能好的管材、管件和阀门等，减少管道系统的漏损是建筑给水排水工程的强制性规范。降低给水管网漏损是对节约用水的重要途径，从管材选择着手，使用耐腐蚀、耐久性能好、接口耐久不渗漏和安装连接方便可靠的管材、管件及阀门，考虑管材的温度变形，抗老化性能等因素，推荐不锈钢管、铜管、塑料给水管和金属塑料复合管及经防腐处理的钢管，高层建筑给水立管不宜采用塑料管。生活给水管道、阀门、配件必须</w:t>
      </w:r>
      <w:r>
        <w:rPr>
          <w:rFonts w:ascii="Times New Roman" w:hAnsi="Times New Roman"/>
          <w:sz w:val="24"/>
          <w:szCs w:val="24"/>
        </w:rPr>
        <w:t>达到饮用水卫生标准，并符合产品现行标准的要求。供水管道应选用耐腐蚀和安装连接方便可靠的管材，阀门及配件应采用铜质等不易锈蚀的材料，以保证检修时能及时可靠关闸，避免渗漏。</w:t>
      </w:r>
    </w:p>
    <w:p w14:paraId="0634D115" w14:textId="77777777" w:rsidR="00622EE7" w:rsidRDefault="00E60909">
      <w:pPr>
        <w:pStyle w:val="af3"/>
        <w:spacing w:beforeLines="25" w:before="78"/>
        <w:ind w:firstLineChars="0" w:firstLine="0"/>
        <w:contextualSpacing/>
        <w:rPr>
          <w:szCs w:val="24"/>
        </w:rPr>
      </w:pPr>
      <w:r>
        <w:rPr>
          <w:b/>
          <w:szCs w:val="24"/>
        </w:rPr>
        <w:t xml:space="preserve">9.1.13  </w:t>
      </w:r>
      <w:r>
        <w:rPr>
          <w:szCs w:val="24"/>
        </w:rPr>
        <w:t>设置分水器可保证多个卫生器具同时使用时水压和水温稳定。</w:t>
      </w:r>
    </w:p>
    <w:p w14:paraId="3345BD1D" w14:textId="77777777" w:rsidR="00622EE7" w:rsidRDefault="00E60909">
      <w:pPr>
        <w:pStyle w:val="af3"/>
        <w:spacing w:beforeLines="25" w:before="78"/>
        <w:ind w:firstLineChars="0" w:firstLine="0"/>
        <w:contextualSpacing/>
      </w:pPr>
      <w:r>
        <w:rPr>
          <w:b/>
        </w:rPr>
        <w:t xml:space="preserve">9.1.16  </w:t>
      </w:r>
      <w:r>
        <w:rPr>
          <w:szCs w:val="24"/>
        </w:rPr>
        <w:t>远传水表可实时的将用水量数据上传给管理系统，并可通过用水量数据进行管网漏损检测、分析与整改。远传水表应根据水平衡测试的要求分级安装。</w:t>
      </w:r>
    </w:p>
    <w:p w14:paraId="1574DB01" w14:textId="77777777" w:rsidR="00622EE7" w:rsidRDefault="00E60909">
      <w:pPr>
        <w:pStyle w:val="af3"/>
        <w:spacing w:beforeLines="25" w:before="78"/>
        <w:ind w:firstLineChars="0" w:firstLine="0"/>
        <w:contextualSpacing/>
        <w:rPr>
          <w:szCs w:val="24"/>
        </w:rPr>
      </w:pPr>
      <w:r>
        <w:rPr>
          <w:b/>
          <w:szCs w:val="24"/>
        </w:rPr>
        <w:t xml:space="preserve">9.1.17  </w:t>
      </w:r>
      <w:r>
        <w:rPr>
          <w:szCs w:val="24"/>
        </w:rPr>
        <w:t>建筑中设有的各类供水系统</w:t>
      </w:r>
      <w:r>
        <w:rPr>
          <w:szCs w:val="24"/>
        </w:rPr>
        <w:t>(</w:t>
      </w:r>
      <w:r>
        <w:rPr>
          <w:szCs w:val="24"/>
        </w:rPr>
        <w:t>如生活饮用水、管道直饮水、游泳池水、非传统水源</w:t>
      </w:r>
      <w:r>
        <w:rPr>
          <w:szCs w:val="24"/>
        </w:rPr>
        <w:t>)</w:t>
      </w:r>
      <w:r>
        <w:rPr>
          <w:szCs w:val="24"/>
        </w:rPr>
        <w:t>均设置在线监测系统，则可根据相</w:t>
      </w:r>
      <w:r>
        <w:rPr>
          <w:szCs w:val="24"/>
        </w:rPr>
        <w:t>应水质标准规范要求，选择对浊度、余氯、</w:t>
      </w:r>
      <w:r>
        <w:rPr>
          <w:szCs w:val="24"/>
        </w:rPr>
        <w:t>pH</w:t>
      </w:r>
      <w:r>
        <w:rPr>
          <w:szCs w:val="24"/>
        </w:rPr>
        <w:t>值、电导率</w:t>
      </w:r>
      <w:r>
        <w:rPr>
          <w:szCs w:val="24"/>
        </w:rPr>
        <w:t>(TDS)</w:t>
      </w:r>
      <w:r>
        <w:rPr>
          <w:szCs w:val="24"/>
        </w:rPr>
        <w:t>等指标进行监测，例如管道直饮水可不监测浊度余氯，对终端直饮水设备没有在线监测的要求。对建筑内各类水质实施在线监测，能够帮助物业管理部门随时掌握水质指标状况，及时发现水质异常变化并采取有效措施。水质在线监测系统应有报警记录功能，其存储介质和数据库应能记录连续一年以上的运行数据，且能随时供用户查询。水质监测的关键性位置和代表性测点包括：水源、水处理设施出水及最不利用水点。</w:t>
      </w:r>
    </w:p>
    <w:p w14:paraId="3F026432" w14:textId="77777777" w:rsidR="00622EE7" w:rsidRDefault="00E60909">
      <w:pPr>
        <w:pStyle w:val="af3"/>
        <w:spacing w:beforeLines="25" w:before="78"/>
        <w:ind w:firstLineChars="0" w:firstLine="0"/>
        <w:contextualSpacing/>
        <w:rPr>
          <w:szCs w:val="24"/>
        </w:rPr>
      </w:pPr>
      <w:r>
        <w:rPr>
          <w:b/>
          <w:szCs w:val="24"/>
        </w:rPr>
        <w:t xml:space="preserve">9.1.18  </w:t>
      </w:r>
      <w:r>
        <w:rPr>
          <w:szCs w:val="24"/>
        </w:rPr>
        <w:t>综合利用各种水资源，避免水的损失和浪费，充分采用非传统水源包括</w:t>
      </w:r>
      <w:r>
        <w:rPr>
          <w:szCs w:val="24"/>
        </w:rPr>
        <w:lastRenderedPageBreak/>
        <w:t>再生水、中水、雨水等。当采用非传统水源时，应严格执行本条提出的用水安全要求。</w:t>
      </w:r>
    </w:p>
    <w:p w14:paraId="59CA99CB" w14:textId="77777777" w:rsidR="00622EE7" w:rsidRDefault="00E60909">
      <w:pPr>
        <w:pStyle w:val="af3"/>
        <w:spacing w:beforeLines="25" w:before="78"/>
        <w:ind w:firstLine="480"/>
        <w:contextualSpacing/>
        <w:rPr>
          <w:szCs w:val="24"/>
        </w:rPr>
      </w:pPr>
      <w:r>
        <w:rPr>
          <w:szCs w:val="24"/>
        </w:rPr>
        <w:t>雨水作为一种可以利用的水资源，具有时间分布不均匀和原水水质相对较优的特点，适合用于绿化灌溉、车库及道路冲洗、洗车用水、景观水体补水、冷却水补水等间歇性利用或季节性利用的场合。</w:t>
      </w:r>
    </w:p>
    <w:p w14:paraId="4C7AF376" w14:textId="77777777" w:rsidR="00622EE7" w:rsidRDefault="00E60909">
      <w:pPr>
        <w:pStyle w:val="af3"/>
        <w:spacing w:beforeLines="25" w:before="78"/>
        <w:ind w:firstLine="480"/>
        <w:contextualSpacing/>
      </w:pPr>
      <w:r>
        <w:t>绿化灌溉用水采用非传统水源时，应符合现行国家标准《城市污水再生利用绿地灌溉水质》</w:t>
      </w:r>
      <w:r>
        <w:t>GB/T 25499</w:t>
      </w:r>
      <w:r>
        <w:t>的要求；车库及道路冲洗、洗车用水采用非传统水源时，应符合现行国家标准《城市污水再生利用</w:t>
      </w:r>
      <w:r>
        <w:t xml:space="preserve"> </w:t>
      </w:r>
      <w:r>
        <w:t>城市</w:t>
      </w:r>
      <w:r>
        <w:rPr>
          <w:rFonts w:hint="eastAsia"/>
        </w:rPr>
        <w:t>用</w:t>
      </w:r>
      <w:r>
        <w:t>杂水水质》</w:t>
      </w:r>
      <w:r>
        <w:t>GB 18920</w:t>
      </w:r>
      <w:r>
        <w:t>的要求。</w:t>
      </w:r>
    </w:p>
    <w:p w14:paraId="23DAD33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9.1.19  </w:t>
      </w:r>
      <w:r>
        <w:rPr>
          <w:rFonts w:ascii="Times New Roman" w:eastAsia="宋体" w:hAnsi="Times New Roman"/>
          <w:color w:val="auto"/>
        </w:rPr>
        <w:t>采用再生水灌溉时，因水中微生物在空气中极易传播，不应采用喷灌方式。</w:t>
      </w:r>
    </w:p>
    <w:p w14:paraId="1CE63E5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9.1.20  </w:t>
      </w:r>
      <w:r>
        <w:rPr>
          <w:rFonts w:ascii="Times New Roman" w:eastAsia="宋体" w:hAnsi="Times New Roman"/>
          <w:color w:val="auto"/>
        </w:rPr>
        <w:t>本条给出了住宅小区室外给水管道布置及敷设的一般原则，给水管道宜平行于建筑物敷设在人行道、慢车道或草地下。小区室外管线要进行管线综合设计，管线与管线之间、管线与建筑物或乔木之间的最小水平净距，以及管线交叉敷设时的最小垂直净距，应符合现行国家标准《建筑给水排水设计标准》</w:t>
      </w:r>
      <w:r>
        <w:rPr>
          <w:rFonts w:ascii="Times New Roman" w:eastAsia="宋体" w:hAnsi="Times New Roman"/>
          <w:color w:val="auto"/>
        </w:rPr>
        <w:t>GB 50015</w:t>
      </w:r>
      <w:r>
        <w:rPr>
          <w:rFonts w:ascii="Times New Roman" w:eastAsia="宋体" w:hAnsi="Times New Roman"/>
          <w:color w:val="auto"/>
        </w:rPr>
        <w:t>的要求，当小区内的道路宽度小，管线在道路下排列困难时，可将部分管线移至绿地内。</w:t>
      </w:r>
    </w:p>
    <w:p w14:paraId="47F2B3D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9.1.21  </w:t>
      </w:r>
      <w:r>
        <w:rPr>
          <w:rFonts w:ascii="Times New Roman" w:eastAsia="宋体" w:hAnsi="Times New Roman"/>
          <w:color w:val="auto"/>
        </w:rPr>
        <w:t>住宅小区室外给水管道埋设深度的要求</w:t>
      </w:r>
      <w:r>
        <w:rPr>
          <w:rFonts w:ascii="Times New Roman" w:eastAsia="宋体" w:hAnsi="Times New Roman"/>
          <w:color w:val="auto"/>
        </w:rPr>
        <w:t>。管顶最小覆土深度不得小于土壤冰冻线以下</w:t>
      </w:r>
      <w:r>
        <w:rPr>
          <w:rFonts w:ascii="Times New Roman" w:eastAsia="宋体" w:hAnsi="Times New Roman"/>
          <w:color w:val="auto"/>
        </w:rPr>
        <w:t>0.15m</w:t>
      </w:r>
      <w:r>
        <w:rPr>
          <w:rFonts w:ascii="Times New Roman" w:eastAsia="宋体" w:hAnsi="Times New Roman"/>
          <w:color w:val="auto"/>
        </w:rPr>
        <w:t>，行车道下的管线覆土深度不宜小于</w:t>
      </w:r>
      <w:r>
        <w:rPr>
          <w:rFonts w:ascii="Times New Roman" w:eastAsia="宋体" w:hAnsi="Times New Roman"/>
          <w:color w:val="auto"/>
        </w:rPr>
        <w:t>0.70m</w:t>
      </w:r>
      <w:r>
        <w:rPr>
          <w:rFonts w:ascii="Times New Roman" w:eastAsia="宋体" w:hAnsi="Times New Roman"/>
          <w:color w:val="auto"/>
        </w:rPr>
        <w:t>。</w:t>
      </w:r>
    </w:p>
    <w:p w14:paraId="44EA6BAA" w14:textId="77777777" w:rsidR="00622EE7" w:rsidRDefault="00E60909">
      <w:pPr>
        <w:spacing w:beforeLines="50" w:before="156" w:afterLines="50" w:after="156" w:line="360" w:lineRule="auto"/>
        <w:jc w:val="center"/>
        <w:outlineLvl w:val="1"/>
        <w:rPr>
          <w:rFonts w:ascii="Times New Roman" w:eastAsia="黑体" w:hAnsi="Times New Roman"/>
        </w:rPr>
      </w:pPr>
      <w:bookmarkStart w:id="160" w:name="_Toc181092593"/>
      <w:bookmarkStart w:id="161" w:name="_Toc182841414"/>
      <w:r>
        <w:rPr>
          <w:rFonts w:ascii="Times New Roman" w:eastAsia="黑体" w:hAnsi="Times New Roman" w:hint="eastAsia"/>
        </w:rPr>
        <w:t>9</w:t>
      </w:r>
      <w:r>
        <w:rPr>
          <w:rFonts w:ascii="Times New Roman" w:eastAsia="黑体" w:hAnsi="Times New Roman"/>
        </w:rPr>
        <w:t xml:space="preserve">.2 </w:t>
      </w:r>
      <w:r>
        <w:rPr>
          <w:rFonts w:ascii="Times New Roman" w:eastAsia="黑体" w:hAnsi="Times New Roman" w:hint="eastAsia"/>
        </w:rPr>
        <w:t>热水</w:t>
      </w:r>
      <w:bookmarkEnd w:id="160"/>
      <w:bookmarkEnd w:id="161"/>
    </w:p>
    <w:p w14:paraId="70313ECF"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9.2.2  </w:t>
      </w:r>
      <w:r>
        <w:rPr>
          <w:rFonts w:ascii="Times New Roman" w:eastAsia="宋体" w:hAnsi="Times New Roman"/>
          <w:color w:val="auto"/>
        </w:rPr>
        <w:t>住宅热水系统应满足节水、节能和使用要求。依据现行国家标准《建筑给水排水与节水通用规范》</w:t>
      </w:r>
      <w:r>
        <w:rPr>
          <w:rFonts w:ascii="Times New Roman" w:eastAsia="宋体" w:hAnsi="Times New Roman"/>
          <w:color w:val="auto"/>
        </w:rPr>
        <w:t>GB 55020-2021</w:t>
      </w:r>
      <w:r>
        <w:rPr>
          <w:rFonts w:ascii="Times New Roman" w:eastAsia="宋体" w:hAnsi="Times New Roman"/>
          <w:color w:val="auto"/>
        </w:rPr>
        <w:t>第</w:t>
      </w:r>
      <w:r>
        <w:rPr>
          <w:rFonts w:ascii="Times New Roman" w:eastAsia="宋体" w:hAnsi="Times New Roman"/>
          <w:color w:val="auto"/>
        </w:rPr>
        <w:t>5.1.3</w:t>
      </w:r>
      <w:r>
        <w:rPr>
          <w:rFonts w:ascii="Times New Roman" w:eastAsia="宋体" w:hAnsi="Times New Roman"/>
          <w:color w:val="auto"/>
        </w:rPr>
        <w:t>条的规定，住宅热水配水点出水温度达到最低出水温度的出水时间不应大于</w:t>
      </w:r>
      <w:r>
        <w:rPr>
          <w:rFonts w:ascii="Times New Roman" w:eastAsia="宋体" w:hAnsi="Times New Roman"/>
          <w:color w:val="auto"/>
        </w:rPr>
        <w:t>15s</w:t>
      </w:r>
      <w:r>
        <w:rPr>
          <w:rFonts w:ascii="Times New Roman" w:eastAsia="宋体" w:hAnsi="Times New Roman"/>
          <w:color w:val="auto"/>
        </w:rPr>
        <w:t>。住宅热水供水管长度大于</w:t>
      </w:r>
      <w:r>
        <w:rPr>
          <w:rFonts w:ascii="Times New Roman" w:eastAsia="宋体" w:hAnsi="Times New Roman"/>
          <w:color w:val="auto"/>
        </w:rPr>
        <w:t>8m</w:t>
      </w:r>
      <w:r>
        <w:rPr>
          <w:rFonts w:ascii="Times New Roman" w:eastAsia="宋体" w:hAnsi="Times New Roman"/>
          <w:color w:val="auto"/>
        </w:rPr>
        <w:t>时可采用自调控电伴热保温或支管循环措施，可提高使用舒适度，节约无效出水。</w:t>
      </w:r>
    </w:p>
    <w:p w14:paraId="2C43742D" w14:textId="77777777" w:rsidR="00622EE7" w:rsidRDefault="00E60909">
      <w:pPr>
        <w:pStyle w:val="af3"/>
        <w:spacing w:beforeLines="25" w:before="78"/>
        <w:ind w:firstLineChars="0" w:firstLine="0"/>
        <w:contextualSpacing/>
      </w:pPr>
      <w:r>
        <w:rPr>
          <w:b/>
        </w:rPr>
        <w:t xml:space="preserve">9.2.4  </w:t>
      </w:r>
      <w:r>
        <w:t>为提升住宅洗浴的舒适性及节水</w:t>
      </w:r>
      <w:r>
        <w:rPr>
          <w:rFonts w:hint="eastAsia"/>
        </w:rPr>
        <w:t>节能</w:t>
      </w:r>
      <w:r>
        <w:t>要求，对燃气热水器做出了规定</w:t>
      </w:r>
      <w:r>
        <w:rPr>
          <w:rFonts w:hint="eastAsia"/>
        </w:rPr>
        <w:t>，同时提示采用一级能效的零冷水燃气热水器时需就近预留冷凝水排水条件</w:t>
      </w:r>
      <w:r>
        <w:t>。当住宅全装修交付时，应满足以上规定。</w:t>
      </w:r>
    </w:p>
    <w:p w14:paraId="32CCA842" w14:textId="77777777" w:rsidR="00622EE7" w:rsidRDefault="00622EE7">
      <w:pPr>
        <w:pStyle w:val="af3"/>
        <w:spacing w:beforeLines="25" w:before="78"/>
        <w:ind w:firstLineChars="0" w:firstLine="0"/>
        <w:contextualSpacing/>
      </w:pPr>
    </w:p>
    <w:p w14:paraId="705FB182" w14:textId="77777777" w:rsidR="00622EE7" w:rsidRDefault="00E60909">
      <w:pPr>
        <w:spacing w:beforeLines="50" w:before="156" w:afterLines="50" w:after="156" w:line="360" w:lineRule="auto"/>
        <w:jc w:val="center"/>
        <w:outlineLvl w:val="1"/>
        <w:rPr>
          <w:rFonts w:ascii="Times New Roman" w:eastAsia="黑体" w:hAnsi="Times New Roman"/>
        </w:rPr>
      </w:pPr>
      <w:bookmarkStart w:id="162" w:name="_Toc182841415"/>
      <w:bookmarkStart w:id="163" w:name="_Toc181092594"/>
      <w:r>
        <w:rPr>
          <w:rFonts w:ascii="Times New Roman" w:eastAsia="黑体" w:hAnsi="Times New Roman" w:hint="eastAsia"/>
        </w:rPr>
        <w:lastRenderedPageBreak/>
        <w:t>9</w:t>
      </w:r>
      <w:r>
        <w:rPr>
          <w:rFonts w:ascii="Times New Roman" w:eastAsia="黑体" w:hAnsi="Times New Roman"/>
        </w:rPr>
        <w:t xml:space="preserve">.3 </w:t>
      </w:r>
      <w:r>
        <w:rPr>
          <w:rFonts w:ascii="Times New Roman" w:eastAsia="黑体" w:hAnsi="Times New Roman" w:hint="eastAsia"/>
        </w:rPr>
        <w:t>排水</w:t>
      </w:r>
      <w:bookmarkEnd w:id="162"/>
      <w:bookmarkEnd w:id="163"/>
    </w:p>
    <w:p w14:paraId="2229B7A6" w14:textId="77777777" w:rsidR="00622EE7" w:rsidRDefault="00E60909">
      <w:pPr>
        <w:pStyle w:val="af3"/>
        <w:spacing w:beforeLines="25" w:before="78"/>
        <w:ind w:firstLineChars="0" w:firstLine="0"/>
        <w:contextualSpacing/>
      </w:pPr>
      <w:r>
        <w:rPr>
          <w:b/>
        </w:rPr>
        <w:t xml:space="preserve">9.3.1  </w:t>
      </w:r>
      <w:r>
        <w:t>考虑到分户计量表在检修时需要泄水，在管井空间允许的条件下，公共管井内应设置排水地漏及排水立管。</w:t>
      </w:r>
    </w:p>
    <w:p w14:paraId="357712A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9.3.2  </w:t>
      </w:r>
      <w:r>
        <w:rPr>
          <w:rFonts w:ascii="Times New Roman" w:eastAsia="宋体" w:hAnsi="Times New Roman"/>
          <w:color w:val="auto"/>
        </w:rPr>
        <w:t>为提升住宅的舒适性，对于排水立管管材做出了规定。普通</w:t>
      </w:r>
      <w:r>
        <w:rPr>
          <w:rFonts w:ascii="Times New Roman" w:eastAsia="宋体" w:hAnsi="Times New Roman"/>
          <w:color w:val="auto"/>
        </w:rPr>
        <w:t>UPVC</w:t>
      </w:r>
      <w:r>
        <w:rPr>
          <w:rFonts w:ascii="Times New Roman" w:eastAsia="宋体" w:hAnsi="Times New Roman"/>
          <w:color w:val="auto"/>
        </w:rPr>
        <w:t>塑料排水管噪声较大，有消音功能的管材指采用橡胶圈密封的柔性接口机制排水铸铁管、聚丙烯静音排水管、双壁芯层发泡塑料排水管、内螺旋消声塑料排水管等。当排水立管必须靠近与卧室相邻的内墙</w:t>
      </w:r>
      <w:r>
        <w:rPr>
          <w:rFonts w:ascii="Times New Roman" w:eastAsia="宋体" w:hAnsi="Times New Roman"/>
          <w:color w:val="auto"/>
        </w:rPr>
        <w:t>时，应采用低噪音管材。</w:t>
      </w:r>
    </w:p>
    <w:p w14:paraId="3414599B" w14:textId="77777777" w:rsidR="00622EE7" w:rsidRDefault="00E60909">
      <w:pPr>
        <w:pStyle w:val="af3"/>
        <w:spacing w:beforeLines="25" w:before="78"/>
        <w:ind w:firstLineChars="0" w:firstLine="0"/>
        <w:contextualSpacing/>
      </w:pPr>
      <w:r>
        <w:rPr>
          <w:b/>
        </w:rPr>
        <w:t xml:space="preserve">9.3.4  </w:t>
      </w:r>
      <w:proofErr w:type="gramStart"/>
      <w:r>
        <w:t>住宅内污废水</w:t>
      </w:r>
      <w:proofErr w:type="gramEnd"/>
      <w:r>
        <w:t>立管检查口每层设置是考虑到在排水管道发生堵塞时，在本层内疏通，而不影响下层住户，减少纠纷，并且保证排水系统施工完成后可分层进行闭水试验。</w:t>
      </w:r>
    </w:p>
    <w:p w14:paraId="0BBE523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9.3.5  </w:t>
      </w:r>
      <w:proofErr w:type="gramStart"/>
      <w:r>
        <w:rPr>
          <w:rFonts w:ascii="Times New Roman" w:eastAsia="宋体" w:hAnsi="Times New Roman"/>
          <w:color w:val="auto"/>
        </w:rPr>
        <w:t>存水弯能有效</w:t>
      </w:r>
      <w:proofErr w:type="gramEnd"/>
      <w:r>
        <w:rPr>
          <w:rFonts w:ascii="Times New Roman" w:eastAsia="宋体" w:hAnsi="Times New Roman"/>
          <w:color w:val="auto"/>
        </w:rPr>
        <w:t>地隔断排水管道内的有害有毒气体窜入室内，从而保证室内环境卫生，防止中毒窒息事故发生。存水弯水封必须保证一定深度，考虑到水封蒸发损失、自虹吸损失以及管道内气压波动等因素，国外规范均规定卫生器具存水弯水封深度为</w:t>
      </w:r>
      <w:r>
        <w:rPr>
          <w:rFonts w:ascii="Times New Roman" w:eastAsia="宋体" w:hAnsi="Times New Roman"/>
          <w:color w:val="auto"/>
        </w:rPr>
        <w:t>50mm~100mm</w:t>
      </w:r>
      <w:r>
        <w:rPr>
          <w:rFonts w:ascii="Times New Roman" w:eastAsia="宋体" w:hAnsi="Times New Roman"/>
          <w:color w:val="auto"/>
        </w:rPr>
        <w:t>。</w:t>
      </w:r>
    </w:p>
    <w:p w14:paraId="1F65100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9.3.6  </w:t>
      </w:r>
      <w:r>
        <w:rPr>
          <w:rFonts w:ascii="Times New Roman" w:eastAsia="宋体" w:hAnsi="Times New Roman"/>
          <w:color w:val="auto"/>
        </w:rPr>
        <w:t>全装修交付的住宅宜采取以上措施，非全装修交付在设计时也</w:t>
      </w:r>
      <w:r>
        <w:rPr>
          <w:rFonts w:ascii="Times New Roman" w:eastAsia="宋体" w:hAnsi="Times New Roman"/>
          <w:color w:val="auto"/>
        </w:rPr>
        <w:t>应符合以上原则。</w:t>
      </w:r>
    </w:p>
    <w:p w14:paraId="0325972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9.3.7  </w:t>
      </w:r>
      <w:r>
        <w:rPr>
          <w:rFonts w:ascii="Times New Roman" w:eastAsia="宋体" w:hAnsi="Times New Roman"/>
          <w:color w:val="auto"/>
        </w:rPr>
        <w:t>非淋浴区地漏平时基本没有水排入，导致地漏水封干涸，排水系统内的有害成分容易进入室内。</w:t>
      </w:r>
      <w:r>
        <w:rPr>
          <w:rFonts w:ascii="Times New Roman" w:eastAsia="宋体" w:hAnsi="Times New Roman"/>
          <w:color w:val="auto"/>
        </w:rPr>
        <w:t>2003</w:t>
      </w:r>
      <w:r>
        <w:rPr>
          <w:rFonts w:ascii="Times New Roman" w:eastAsia="宋体" w:hAnsi="Times New Roman"/>
          <w:color w:val="auto"/>
        </w:rPr>
        <w:t>年，香港</w:t>
      </w:r>
      <w:r>
        <w:rPr>
          <w:rFonts w:ascii="Times New Roman" w:eastAsia="宋体" w:hAnsi="Times New Roman"/>
          <w:color w:val="auto"/>
        </w:rPr>
        <w:t>“</w:t>
      </w:r>
      <w:r>
        <w:rPr>
          <w:rFonts w:ascii="Times New Roman" w:eastAsia="宋体" w:hAnsi="Times New Roman"/>
          <w:color w:val="auto"/>
        </w:rPr>
        <w:t>淘大花园</w:t>
      </w:r>
      <w:r>
        <w:rPr>
          <w:rFonts w:ascii="Times New Roman" w:eastAsia="宋体" w:hAnsi="Times New Roman"/>
          <w:color w:val="auto"/>
        </w:rPr>
        <w:t>SARS</w:t>
      </w:r>
      <w:r>
        <w:rPr>
          <w:rFonts w:ascii="Times New Roman" w:eastAsia="宋体" w:hAnsi="Times New Roman"/>
          <w:color w:val="auto"/>
        </w:rPr>
        <w:t>集中感染事件</w:t>
      </w:r>
      <w:r>
        <w:rPr>
          <w:rFonts w:ascii="Times New Roman" w:eastAsia="宋体" w:hAnsi="Times New Roman"/>
          <w:color w:val="auto"/>
        </w:rPr>
        <w:t>”</w:t>
      </w:r>
      <w:r>
        <w:rPr>
          <w:rFonts w:ascii="Times New Roman" w:eastAsia="宋体" w:hAnsi="Times New Roman"/>
          <w:color w:val="auto"/>
        </w:rPr>
        <w:t>就是住户清洁浴室地面时习惯采用拖把而非用水冲洗，导致地漏干涸未能发挥隔离作用，使得排水系统内携带有大量病毒的空气从污水</w:t>
      </w:r>
      <w:proofErr w:type="gramStart"/>
      <w:r>
        <w:rPr>
          <w:rFonts w:ascii="Times New Roman" w:eastAsia="宋体" w:hAnsi="Times New Roman"/>
          <w:color w:val="auto"/>
        </w:rPr>
        <w:t>管经</w:t>
      </w:r>
      <w:proofErr w:type="gramEnd"/>
      <w:r>
        <w:rPr>
          <w:rFonts w:ascii="Times New Roman" w:eastAsia="宋体" w:hAnsi="Times New Roman"/>
          <w:color w:val="auto"/>
        </w:rPr>
        <w:t>地漏倒流进入浴室，最终通过窗口进入相邻家庭。因此不推荐设置仅用于地面排水的地漏。排水系统采用多通道地漏或排水汇集器，可以延长水封时效，有效阻断排水立管系统内部的细菌侵入户内空间。配套用房和全装修交付的住宅宜采取以上措施。</w:t>
      </w:r>
    </w:p>
    <w:p w14:paraId="54251B4B" w14:textId="77777777" w:rsidR="00622EE7" w:rsidRDefault="00E60909">
      <w:pPr>
        <w:pStyle w:val="af5"/>
        <w:rPr>
          <w:rFonts w:ascii="Times New Roman" w:eastAsia="宋体" w:hAnsi="Times New Roman"/>
          <w:color w:val="auto"/>
        </w:rPr>
      </w:pPr>
      <w:r>
        <w:rPr>
          <w:rFonts w:ascii="Times New Roman" w:eastAsia="宋体" w:hAnsi="Times New Roman"/>
          <w:b/>
          <w:color w:val="auto"/>
        </w:rPr>
        <w:t>9.</w:t>
      </w:r>
      <w:r>
        <w:rPr>
          <w:rFonts w:ascii="Times New Roman" w:eastAsia="宋体" w:hAnsi="Times New Roman"/>
          <w:b/>
          <w:color w:val="auto"/>
        </w:rPr>
        <w:t xml:space="preserve">3.8  </w:t>
      </w:r>
      <w:proofErr w:type="gramStart"/>
      <w:r>
        <w:rPr>
          <w:rFonts w:ascii="Times New Roman" w:eastAsia="宋体" w:hAnsi="Times New Roman"/>
          <w:color w:val="auto"/>
        </w:rPr>
        <w:t>厨余垃圾处理系统</w:t>
      </w:r>
      <w:proofErr w:type="gramEnd"/>
      <w:r>
        <w:rPr>
          <w:rFonts w:ascii="Times New Roman" w:eastAsia="宋体" w:hAnsi="Times New Roman"/>
          <w:color w:val="auto"/>
        </w:rPr>
        <w:t>通过改变食物垃圾的形态，将食物垃圾粉碎成浆状液体，直接从下水管道排出，实现即时、方便、快捷的厨房清洁；避免食物垃圾因储存而滋生病菌、蚊虫和异味，优化家居环境；解决排水管道堵塞问题。全装修交付的住宅宜采取以上措施。</w:t>
      </w:r>
    </w:p>
    <w:p w14:paraId="2E9501D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9.3.11  </w:t>
      </w:r>
      <w:r>
        <w:rPr>
          <w:rFonts w:ascii="Times New Roman" w:eastAsia="宋体" w:hAnsi="Times New Roman" w:hint="eastAsia"/>
          <w:color w:val="auto"/>
        </w:rPr>
        <w:t>本条为</w:t>
      </w:r>
      <w:r>
        <w:rPr>
          <w:rFonts w:ascii="Times New Roman" w:eastAsia="宋体" w:hAnsi="Times New Roman"/>
          <w:color w:val="auto"/>
        </w:rPr>
        <w:t>住宅小区室外排水管道布置及敷设的一般原则。室外排水管道沿道路和建筑物的周边呈平行布置，管线最短，减少转弯，并尽量减少相互间及与</w:t>
      </w:r>
      <w:r>
        <w:rPr>
          <w:rFonts w:ascii="Times New Roman" w:eastAsia="宋体" w:hAnsi="Times New Roman"/>
          <w:color w:val="auto"/>
        </w:rPr>
        <w:lastRenderedPageBreak/>
        <w:t>其他管线的交叉，检查井间的管段应为直线；雨水</w:t>
      </w:r>
      <w:proofErr w:type="gramStart"/>
      <w:r>
        <w:rPr>
          <w:rFonts w:ascii="Times New Roman" w:eastAsia="宋体" w:hAnsi="Times New Roman"/>
          <w:color w:val="auto"/>
        </w:rPr>
        <w:t>干管宜平行</w:t>
      </w:r>
      <w:proofErr w:type="gramEnd"/>
      <w:r>
        <w:rPr>
          <w:rFonts w:ascii="Times New Roman" w:eastAsia="宋体" w:hAnsi="Times New Roman"/>
          <w:color w:val="auto"/>
        </w:rPr>
        <w:t>道路方向，并靠近道路布置；排水管道应尽量布置在道路外侧的人行道或绿地下</w:t>
      </w:r>
      <w:r>
        <w:rPr>
          <w:rFonts w:ascii="Times New Roman" w:eastAsia="宋体" w:hAnsi="Times New Roman"/>
          <w:color w:val="auto"/>
        </w:rPr>
        <w:t>面。</w:t>
      </w:r>
    </w:p>
    <w:p w14:paraId="257352D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9.3.12  </w:t>
      </w:r>
      <w:r>
        <w:rPr>
          <w:rFonts w:ascii="Times New Roman" w:eastAsia="宋体" w:hAnsi="Times New Roman"/>
          <w:color w:val="auto"/>
        </w:rPr>
        <w:t>住宅小区室外排水管道埋设深度的要求：小区干道和小区组团道路下的生活排水管道，其覆土深度不宜小于</w:t>
      </w:r>
      <w:r>
        <w:rPr>
          <w:rFonts w:ascii="Times New Roman" w:eastAsia="宋体" w:hAnsi="Times New Roman"/>
          <w:color w:val="auto"/>
        </w:rPr>
        <w:t>0.70m</w:t>
      </w:r>
      <w:r>
        <w:rPr>
          <w:rFonts w:ascii="Times New Roman" w:eastAsia="宋体" w:hAnsi="Times New Roman"/>
          <w:color w:val="auto"/>
        </w:rPr>
        <w:t>；生活排水管道埋设深度不得高于土壤冰冻线以上</w:t>
      </w:r>
      <w:r>
        <w:rPr>
          <w:rFonts w:ascii="Times New Roman" w:eastAsia="宋体" w:hAnsi="Times New Roman"/>
          <w:color w:val="auto"/>
        </w:rPr>
        <w:t>0.15m</w:t>
      </w:r>
      <w:r>
        <w:rPr>
          <w:rFonts w:ascii="Times New Roman" w:eastAsia="宋体" w:hAnsi="Times New Roman"/>
          <w:color w:val="auto"/>
        </w:rPr>
        <w:t>，且覆土深度不宜小于</w:t>
      </w:r>
      <w:r>
        <w:rPr>
          <w:rFonts w:ascii="Times New Roman" w:eastAsia="宋体" w:hAnsi="Times New Roman"/>
          <w:color w:val="auto"/>
        </w:rPr>
        <w:t>0.30m</w:t>
      </w:r>
      <w:r>
        <w:rPr>
          <w:rFonts w:ascii="Times New Roman" w:eastAsia="宋体" w:hAnsi="Times New Roman"/>
          <w:color w:val="auto"/>
        </w:rPr>
        <w:t>；当采用埋地塑料管道时，排出管埋设深度可不高于土壤冰冻线以上</w:t>
      </w:r>
      <w:r>
        <w:rPr>
          <w:rFonts w:ascii="Times New Roman" w:eastAsia="宋体" w:hAnsi="Times New Roman"/>
          <w:color w:val="auto"/>
        </w:rPr>
        <w:t>0.50m</w:t>
      </w:r>
      <w:r>
        <w:rPr>
          <w:rFonts w:ascii="Times New Roman" w:eastAsia="宋体" w:hAnsi="Times New Roman"/>
          <w:color w:val="auto"/>
        </w:rPr>
        <w:t>。</w:t>
      </w:r>
    </w:p>
    <w:p w14:paraId="543CF5F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9.3.13  </w:t>
      </w:r>
      <w:r>
        <w:rPr>
          <w:rFonts w:ascii="Times New Roman" w:eastAsia="宋体" w:hAnsi="Times New Roman" w:hint="eastAsia"/>
          <w:color w:val="auto"/>
        </w:rPr>
        <w:t>给水排水专业与建筑学专业协同，合理布置卫生间位置，</w:t>
      </w:r>
      <w:r>
        <w:rPr>
          <w:rFonts w:ascii="Times New Roman" w:eastAsia="宋体" w:hAnsi="Times New Roman" w:hint="eastAsia"/>
          <w:color w:val="auto"/>
        </w:rPr>
        <w:t>检查井等点</w:t>
      </w:r>
      <w:proofErr w:type="gramStart"/>
      <w:r>
        <w:rPr>
          <w:rFonts w:ascii="Times New Roman" w:eastAsia="宋体" w:hAnsi="Times New Roman" w:hint="eastAsia"/>
          <w:color w:val="auto"/>
        </w:rPr>
        <w:t>位设置</w:t>
      </w:r>
      <w:proofErr w:type="gramEnd"/>
      <w:r>
        <w:rPr>
          <w:rFonts w:ascii="Times New Roman" w:eastAsia="宋体" w:hAnsi="Times New Roman" w:hint="eastAsia"/>
          <w:color w:val="auto"/>
        </w:rPr>
        <w:t>避开单元门厅出入口等人员活动密集区域。</w:t>
      </w:r>
    </w:p>
    <w:p w14:paraId="41B5D17D" w14:textId="77777777" w:rsidR="00622EE7" w:rsidRDefault="00E60909">
      <w:pPr>
        <w:pStyle w:val="1"/>
      </w:pPr>
      <w:bookmarkStart w:id="164" w:name="_Toc181092595"/>
      <w:bookmarkStart w:id="165" w:name="_Toc182841416"/>
      <w:r>
        <w:lastRenderedPageBreak/>
        <w:t xml:space="preserve">10 </w:t>
      </w:r>
      <w:r>
        <w:rPr>
          <w:rFonts w:hint="eastAsia"/>
        </w:rPr>
        <w:t xml:space="preserve"> </w:t>
      </w:r>
      <w:r>
        <w:rPr>
          <w:rFonts w:hint="eastAsia"/>
        </w:rPr>
        <w:t>暖通空调</w:t>
      </w:r>
      <w:bookmarkEnd w:id="164"/>
      <w:bookmarkEnd w:id="165"/>
    </w:p>
    <w:p w14:paraId="7732756F" w14:textId="77777777" w:rsidR="00622EE7" w:rsidRDefault="00E60909">
      <w:pPr>
        <w:spacing w:beforeLines="50" w:before="156" w:afterLines="50" w:after="156" w:line="360" w:lineRule="auto"/>
        <w:jc w:val="center"/>
        <w:outlineLvl w:val="1"/>
        <w:rPr>
          <w:rFonts w:ascii="Times New Roman" w:eastAsia="黑体" w:hAnsi="Times New Roman"/>
        </w:rPr>
      </w:pPr>
      <w:bookmarkStart w:id="166" w:name="_Toc182841417"/>
      <w:bookmarkStart w:id="167" w:name="_Toc181092596"/>
      <w:r>
        <w:rPr>
          <w:rFonts w:ascii="Times New Roman" w:eastAsia="黑体" w:hAnsi="Times New Roman" w:hint="eastAsia"/>
        </w:rPr>
        <w:t>10</w:t>
      </w:r>
      <w:r>
        <w:rPr>
          <w:rFonts w:ascii="Times New Roman" w:eastAsia="黑体" w:hAnsi="Times New Roman"/>
        </w:rPr>
        <w:t xml:space="preserve">.1 </w:t>
      </w:r>
      <w:r>
        <w:rPr>
          <w:rFonts w:ascii="Times New Roman" w:eastAsia="黑体" w:hAnsi="Times New Roman" w:hint="eastAsia"/>
        </w:rPr>
        <w:t>供暖</w:t>
      </w:r>
      <w:bookmarkEnd w:id="166"/>
      <w:bookmarkEnd w:id="167"/>
    </w:p>
    <w:p w14:paraId="65D01909" w14:textId="77777777" w:rsidR="00622EE7" w:rsidRDefault="00E60909">
      <w:pPr>
        <w:pStyle w:val="af3"/>
        <w:ind w:firstLineChars="0" w:firstLine="0"/>
        <w:contextualSpacing/>
      </w:pPr>
      <w:r>
        <w:rPr>
          <w:b/>
        </w:rPr>
        <w:t xml:space="preserve">10.1.1 </w:t>
      </w:r>
      <w:r>
        <w:t xml:space="preserve"> </w:t>
      </w:r>
      <w:r>
        <w:t>居住建筑的供热供暖能耗占我国建筑能耗的主要部分。当前我国</w:t>
      </w:r>
      <w:r>
        <w:t>北方地区大力推进清洁供暖，大力减少温室气体排放，进一步明显降低细颗粒物</w:t>
      </w:r>
      <w:r>
        <w:t>(PM2.5)</w:t>
      </w:r>
      <w:r>
        <w:t>浓度。清洁供暖是指利用天然气、电、地热、生物质、太阳能、工业余热、清洁化燃煤</w:t>
      </w:r>
      <w:r>
        <w:t>(</w:t>
      </w:r>
      <w:r>
        <w:t>超低排放</w:t>
      </w:r>
      <w:r>
        <w:t>)</w:t>
      </w:r>
      <w:r>
        <w:t>、核能等清洁化能源，通过高效用能系统实现低排放、低能耗的取暖方式，包含以降低污染物排放和能源消耗为目标的取暖全过程，涉及清洁热源、高效输配管网</w:t>
      </w:r>
      <w:r>
        <w:t>(</w:t>
      </w:r>
      <w:r>
        <w:t>热网</w:t>
      </w:r>
      <w:r>
        <w:t>)</w:t>
      </w:r>
      <w:r>
        <w:t>、节能建筑</w:t>
      </w:r>
      <w:r>
        <w:t>(</w:t>
      </w:r>
      <w:proofErr w:type="gramStart"/>
      <w:r>
        <w:t>热用户</w:t>
      </w:r>
      <w:proofErr w:type="gramEnd"/>
      <w:r>
        <w:t>)</w:t>
      </w:r>
      <w:r>
        <w:t>等环节。</w:t>
      </w:r>
    </w:p>
    <w:p w14:paraId="7B5D55E4" w14:textId="77777777" w:rsidR="00622EE7" w:rsidRDefault="00E60909">
      <w:pPr>
        <w:pStyle w:val="af3"/>
        <w:ind w:firstLineChars="0" w:firstLine="0"/>
        <w:contextualSpacing/>
      </w:pPr>
      <w:r>
        <w:rPr>
          <w:b/>
        </w:rPr>
        <w:t xml:space="preserve">10.1.2  </w:t>
      </w:r>
      <w:r>
        <w:t>供热系统水力不平衡的现象目前依然很严重，而水力不平衡是造成供热能耗较高的主要原因之一。同时，水力平衡又是保证其他节能措施能够可靠实施的前提，因此</w:t>
      </w:r>
      <w:r>
        <w:t>对系统节能而言，首先应做到水力平衡，而且必须强制要求系统达到水力平衡。</w:t>
      </w:r>
    </w:p>
    <w:p w14:paraId="46B5140C" w14:textId="77777777" w:rsidR="00622EE7" w:rsidRDefault="00E60909">
      <w:pPr>
        <w:pStyle w:val="af3"/>
        <w:ind w:firstLineChars="0" w:firstLine="0"/>
        <w:contextualSpacing/>
      </w:pPr>
      <w:r>
        <w:rPr>
          <w:b/>
        </w:rPr>
        <w:t xml:space="preserve">10.1.3  </w:t>
      </w:r>
      <w:r>
        <w:t>设置供热量控制装置的主要目的是对供热系统进行总体调节，使供水水温或流量等参数在保持室内温度的前提下，随室外空气温度的变化进行调整，始终保持锅炉房或换热机房的供热量与建筑物的需热量基本一致，实现按需供热，达到最佳的运行效率和最稳定的供热质量。</w:t>
      </w:r>
    </w:p>
    <w:p w14:paraId="2BCEF2E4" w14:textId="77777777" w:rsidR="00622EE7" w:rsidRDefault="00E60909">
      <w:pPr>
        <w:pStyle w:val="af3"/>
        <w:ind w:firstLineChars="0" w:firstLine="0"/>
        <w:contextualSpacing/>
        <w:rPr>
          <w:bCs/>
        </w:rPr>
      </w:pPr>
      <w:r>
        <w:rPr>
          <w:b/>
        </w:rPr>
        <w:t xml:space="preserve">10.1.4  </w:t>
      </w:r>
      <w:r>
        <w:t>对散热器和辐射供暖系统均要求能够根据室温设定值自动调节。对于散热器和地面辐射供暖系统，主要是设置自力式恒温阀、电热阀、电动通断阀等。散热器恒温控制阀具有感受室内温度变化并根据设定的室内温度对系统流量进行自力式调节的特性，有效利用室内自由热从而达到节省室内供热量的目的。</w:t>
      </w:r>
    </w:p>
    <w:p w14:paraId="3D48E933" w14:textId="77777777" w:rsidR="00622EE7" w:rsidRDefault="00E60909">
      <w:pPr>
        <w:pStyle w:val="af3"/>
        <w:ind w:firstLineChars="0" w:firstLine="0"/>
        <w:contextualSpacing/>
        <w:rPr>
          <w:bCs/>
        </w:rPr>
      </w:pPr>
      <w:r>
        <w:rPr>
          <w:b/>
        </w:rPr>
        <w:t xml:space="preserve">10.1.5  </w:t>
      </w:r>
      <w:r>
        <w:t>基于使热媒保持一定参数，节能和防冻等因素，室内供暖管道须保温。根据国家新的节能政策，对每米管道保温后的允许热耗、保温材料的导热系数及保温厚度相对以及保护</w:t>
      </w:r>
      <w:proofErr w:type="gramStart"/>
      <w:r>
        <w:t>壳做法</w:t>
      </w:r>
      <w:proofErr w:type="gramEnd"/>
      <w:r>
        <w:t>等都必须在原有基础上加以改善和提高，推荐采用成品保温，提高保温性能和绿色性能。</w:t>
      </w:r>
    </w:p>
    <w:p w14:paraId="3127113C" w14:textId="77777777" w:rsidR="00622EE7" w:rsidRDefault="00E60909">
      <w:pPr>
        <w:pStyle w:val="af3"/>
        <w:ind w:firstLineChars="0" w:firstLine="0"/>
        <w:contextualSpacing/>
      </w:pPr>
      <w:r>
        <w:rPr>
          <w:b/>
        </w:rPr>
        <w:t xml:space="preserve">10.1.6  </w:t>
      </w:r>
      <w:r>
        <w:t>在供暖干管和立管上设置调节装置是为系统的调节和平衡创造必要的条件。根据水力平衡要求和建筑物内供暖系统的调节方式选择合适</w:t>
      </w:r>
      <w:r>
        <w:rPr>
          <w:rFonts w:hint="eastAsia"/>
        </w:rPr>
        <w:t>的</w:t>
      </w:r>
      <w:r>
        <w:t>调节装置，如承担调节及控制功能的阀门应选用截止阀、静态水力平衡阀、自力式压差控制阀等高阻力阀门。常用的具有调节性能和截止功能的平衡阀，具备</w:t>
      </w:r>
      <w:r>
        <w:t>开度显示、压差</w:t>
      </w:r>
      <w:r>
        <w:lastRenderedPageBreak/>
        <w:t>和流量测量、限定开度等功能。通过改变平衡阀的开度，使阀门的流动阻力发生相应变化来调节流量。除静态水力平衡阀外，也可根据水力平衡要求和建筑物内供暖系统的调节方式，选择自力式压差控制阀、自力式流量控制阀等装置。</w:t>
      </w:r>
    </w:p>
    <w:p w14:paraId="42CCFE1E" w14:textId="77777777" w:rsidR="00622EE7" w:rsidRDefault="00E60909">
      <w:pPr>
        <w:spacing w:beforeLines="50" w:before="156" w:afterLines="50" w:after="156" w:line="360" w:lineRule="auto"/>
        <w:jc w:val="center"/>
        <w:outlineLvl w:val="1"/>
        <w:rPr>
          <w:rFonts w:ascii="Times New Roman" w:eastAsia="黑体" w:hAnsi="Times New Roman"/>
        </w:rPr>
      </w:pPr>
      <w:bookmarkStart w:id="168" w:name="_Toc182841418"/>
      <w:bookmarkStart w:id="169" w:name="_Toc181092597"/>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通风和防排烟</w:t>
      </w:r>
      <w:bookmarkEnd w:id="168"/>
      <w:bookmarkEnd w:id="169"/>
    </w:p>
    <w:p w14:paraId="4D3D9E23" w14:textId="77777777" w:rsidR="00622EE7" w:rsidRDefault="00E60909">
      <w:pPr>
        <w:pStyle w:val="af3"/>
        <w:ind w:firstLineChars="0" w:firstLine="0"/>
        <w:contextualSpacing/>
        <w:rPr>
          <w:szCs w:val="24"/>
        </w:rPr>
      </w:pPr>
      <w:r>
        <w:rPr>
          <w:b/>
        </w:rPr>
        <w:t xml:space="preserve">10.2.1  </w:t>
      </w:r>
      <w:r>
        <w:t>住宅内的通风换气应首先考虑采用自然通风，但在无自然通风条件或自然通风不能满足卫生要求的情况下，应设机械通风或自然通风与机械通风结合的复合通风系统。室外新鲜空气首先进入起居室、卧室等人员主要活动、休息场所，然后从厨房、卫生间排出到室外</w:t>
      </w:r>
      <w:r>
        <w:rPr>
          <w:rFonts w:hint="eastAsia"/>
        </w:rPr>
        <w:t>，是较为理想的通风</w:t>
      </w:r>
      <w:r>
        <w:rPr>
          <w:rFonts w:hint="eastAsia"/>
        </w:rPr>
        <w:t>路径。</w:t>
      </w:r>
    </w:p>
    <w:p w14:paraId="4FE88B5E" w14:textId="77777777" w:rsidR="00622EE7" w:rsidRDefault="00E60909">
      <w:pPr>
        <w:pStyle w:val="af3"/>
        <w:ind w:firstLineChars="0" w:firstLine="0"/>
        <w:contextualSpacing/>
        <w:rPr>
          <w:szCs w:val="24"/>
        </w:rPr>
      </w:pPr>
      <w:r>
        <w:rPr>
          <w:b/>
        </w:rPr>
        <w:t xml:space="preserve">10.2.2  </w:t>
      </w:r>
      <w:r>
        <w:t>住宅厨房及无外窗卫生间污染源较集中，应采用机械排风系统，设计时应预留机械排风系统开口。</w:t>
      </w:r>
    </w:p>
    <w:p w14:paraId="27376925" w14:textId="77777777" w:rsidR="00622EE7" w:rsidRDefault="00E60909">
      <w:pPr>
        <w:pStyle w:val="af3"/>
        <w:spacing w:beforeLines="25" w:before="78"/>
        <w:ind w:firstLineChars="0" w:firstLine="0"/>
        <w:contextualSpacing/>
      </w:pPr>
      <w:r>
        <w:rPr>
          <w:b/>
        </w:rPr>
        <w:t xml:space="preserve">10.2.3  </w:t>
      </w:r>
      <w:r>
        <w:t>设置防火、防鼠、防虫装置可降低流动生物体引起的病菌传播，同时减少设备故障概率，延长设备的使用寿命。</w:t>
      </w:r>
    </w:p>
    <w:p w14:paraId="13C97BAC" w14:textId="77777777" w:rsidR="00622EE7" w:rsidRDefault="00E60909">
      <w:pPr>
        <w:pStyle w:val="af3"/>
        <w:spacing w:beforeLines="25" w:before="78"/>
        <w:ind w:firstLineChars="0" w:firstLine="0"/>
        <w:contextualSpacing/>
      </w:pPr>
      <w:r>
        <w:rPr>
          <w:b/>
        </w:rPr>
        <w:t xml:space="preserve">10.2.4  </w:t>
      </w:r>
      <w:r>
        <w:t>降低卫生间和厨房通风味道外溢的风险。厨房和卫生间的排气道设计应符合现行国家标准《住宅设计规范》</w:t>
      </w:r>
      <w:r>
        <w:t>GB 50096</w:t>
      </w:r>
      <w:r>
        <w:t>、《住宅建筑规范》</w:t>
      </w:r>
      <w:r>
        <w:t>GB 50368</w:t>
      </w:r>
      <w:r>
        <w:t>、《建筑设计防火规范》</w:t>
      </w:r>
      <w:r>
        <w:t>GB 50016</w:t>
      </w:r>
      <w:r>
        <w:t>、《民用建筑设计统一标准》</w:t>
      </w:r>
      <w:r>
        <w:t>GB 50352</w:t>
      </w:r>
      <w:r>
        <w:t>、《住宅排气管道系统工程技术标准》</w:t>
      </w:r>
      <w:r>
        <w:t>JGJ/T</w:t>
      </w:r>
      <w:r>
        <w:t xml:space="preserve"> 455</w:t>
      </w:r>
      <w:r>
        <w:t>的规定。</w:t>
      </w:r>
    </w:p>
    <w:p w14:paraId="339A370C" w14:textId="77777777" w:rsidR="00622EE7" w:rsidRDefault="00E60909">
      <w:pPr>
        <w:pStyle w:val="af3"/>
        <w:ind w:firstLineChars="0" w:firstLine="0"/>
        <w:contextualSpacing/>
      </w:pPr>
      <w:r>
        <w:rPr>
          <w:b/>
        </w:rPr>
        <w:t xml:space="preserve">10.2.5  </w:t>
      </w:r>
      <w:r>
        <w:t>机动车库内含有可燃、可爆、有害气体，且地下汽车库由于位置原因，容易造成自然通风不畅，其送、排风系统应与主体建筑的通风系统分开，独立设置，以避免有害气体或火灾从通风系统引入主体建筑部分。</w:t>
      </w:r>
    </w:p>
    <w:p w14:paraId="3E3E9EBA" w14:textId="77777777" w:rsidR="00622EE7" w:rsidRDefault="00E60909">
      <w:pPr>
        <w:spacing w:beforeLines="50" w:before="156" w:afterLines="50" w:after="156" w:line="360" w:lineRule="auto"/>
        <w:jc w:val="center"/>
        <w:outlineLvl w:val="1"/>
        <w:rPr>
          <w:rFonts w:ascii="Times New Roman" w:eastAsia="楷体" w:hAnsi="Times New Roman"/>
          <w:szCs w:val="24"/>
        </w:rPr>
      </w:pPr>
      <w:bookmarkStart w:id="170" w:name="_Toc182841419"/>
      <w:bookmarkStart w:id="171" w:name="_Toc181092598"/>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3</w:t>
      </w:r>
      <w:r>
        <w:rPr>
          <w:rFonts w:ascii="Times New Roman" w:eastAsia="黑体" w:hAnsi="Times New Roman"/>
        </w:rPr>
        <w:t xml:space="preserve"> </w:t>
      </w:r>
      <w:r>
        <w:rPr>
          <w:rFonts w:ascii="Times New Roman" w:eastAsia="黑体" w:hAnsi="Times New Roman" w:hint="eastAsia"/>
        </w:rPr>
        <w:t>空气调节</w:t>
      </w:r>
      <w:bookmarkEnd w:id="170"/>
      <w:bookmarkEnd w:id="171"/>
    </w:p>
    <w:p w14:paraId="035C1779" w14:textId="77777777" w:rsidR="00622EE7" w:rsidRDefault="00E60909">
      <w:pPr>
        <w:pStyle w:val="af3"/>
        <w:ind w:firstLineChars="0" w:firstLine="0"/>
        <w:contextualSpacing/>
        <w:rPr>
          <w:bCs/>
        </w:rPr>
      </w:pPr>
      <w:r>
        <w:rPr>
          <w:b/>
        </w:rPr>
        <w:t xml:space="preserve">10.3.1  </w:t>
      </w:r>
      <w:r>
        <w:t>本条规定的房间空调器能效限值不低于国家标准《房间空气调节器能效限定值及能效等级》</w:t>
      </w:r>
      <w:r>
        <w:t>GB21455-2019</w:t>
      </w:r>
      <w:r>
        <w:t>的三级能效水平。</w:t>
      </w:r>
    </w:p>
    <w:p w14:paraId="7EFD1E85" w14:textId="77777777" w:rsidR="00622EE7" w:rsidRDefault="00E60909">
      <w:pPr>
        <w:pStyle w:val="af3"/>
        <w:ind w:firstLineChars="0" w:firstLine="0"/>
        <w:contextualSpacing/>
      </w:pPr>
      <w:r>
        <w:rPr>
          <w:b/>
        </w:rPr>
        <w:t xml:space="preserve">10.3.3  </w:t>
      </w:r>
      <w:r>
        <w:t>分体式空调室外机位净尺寸不宜小于</w:t>
      </w:r>
      <w:r>
        <w:t>1.20m×0.70m×0.90m(</w:t>
      </w:r>
      <w:r>
        <w:t>长</w:t>
      </w:r>
      <w:r>
        <w:t>×</w:t>
      </w:r>
      <w:r>
        <w:t>宽</w:t>
      </w:r>
      <w:r>
        <w:t>×</w:t>
      </w:r>
      <w:r>
        <w:t>高</w:t>
      </w:r>
      <w:r>
        <w:t>)</w:t>
      </w:r>
      <w:r>
        <w:t>，集中式空调室外机位净尺寸不宜小于</w:t>
      </w:r>
      <w:r>
        <w:t>1.</w:t>
      </w:r>
      <w:r>
        <w:t>50m×1.0m×1.60m(</w:t>
      </w:r>
      <w:r>
        <w:t>长</w:t>
      </w:r>
      <w:r>
        <w:t>×</w:t>
      </w:r>
      <w:r>
        <w:t>宽</w:t>
      </w:r>
      <w:r>
        <w:t>×</w:t>
      </w:r>
      <w:r>
        <w:t>高</w:t>
      </w:r>
      <w:r>
        <w:t>)</w:t>
      </w:r>
      <w:r>
        <w:t>。</w:t>
      </w:r>
    </w:p>
    <w:p w14:paraId="4F88E2E8" w14:textId="77777777" w:rsidR="00622EE7" w:rsidRDefault="00E60909">
      <w:pPr>
        <w:pStyle w:val="af3"/>
        <w:ind w:firstLineChars="0" w:firstLine="0"/>
        <w:contextualSpacing/>
      </w:pPr>
      <w:r>
        <w:rPr>
          <w:b/>
        </w:rPr>
        <w:t xml:space="preserve">10.3.4  </w:t>
      </w:r>
      <w:r>
        <w:t>考虑到风沙天气难以自然通风</w:t>
      </w:r>
      <w:r>
        <w:rPr>
          <w:rFonts w:hint="eastAsia"/>
        </w:rPr>
        <w:t>时可通过</w:t>
      </w:r>
      <w:r>
        <w:t>加装新风系统</w:t>
      </w:r>
      <w:r>
        <w:rPr>
          <w:rFonts w:hint="eastAsia"/>
        </w:rPr>
        <w:t>解决</w:t>
      </w:r>
      <w:r>
        <w:t>，</w:t>
      </w:r>
      <w:proofErr w:type="gramStart"/>
      <w:r>
        <w:t>特鼓励</w:t>
      </w:r>
      <w:proofErr w:type="gramEnd"/>
      <w:r>
        <w:t>新建居住建筑预留新风系统安装位置，可以避免后续施工对居住建筑结构的破坏。</w:t>
      </w:r>
    </w:p>
    <w:p w14:paraId="5175AB3B" w14:textId="77777777" w:rsidR="00622EE7" w:rsidRDefault="00E60909">
      <w:pPr>
        <w:pStyle w:val="af3"/>
        <w:ind w:firstLineChars="0" w:firstLine="0"/>
        <w:contextualSpacing/>
      </w:pPr>
      <w:r>
        <w:rPr>
          <w:b/>
        </w:rPr>
        <w:t xml:space="preserve">10.3.5 </w:t>
      </w:r>
      <w:r>
        <w:t xml:space="preserve"> </w:t>
      </w:r>
      <w:r>
        <w:t>针对康巴什区的寒冷气候，可以采取增加加热器等预热措施，防止送风温度过低影响室内舒适或者热回收新风系统排风侧的结露。</w:t>
      </w:r>
    </w:p>
    <w:p w14:paraId="2A36E52E" w14:textId="77777777" w:rsidR="00622EE7" w:rsidRDefault="00E60909">
      <w:pPr>
        <w:spacing w:beforeLines="50" w:before="156" w:afterLines="50" w:after="156" w:line="360" w:lineRule="auto"/>
        <w:jc w:val="center"/>
        <w:outlineLvl w:val="1"/>
        <w:rPr>
          <w:rFonts w:ascii="Times New Roman" w:eastAsia="黑体" w:hAnsi="Times New Roman"/>
        </w:rPr>
      </w:pPr>
      <w:bookmarkStart w:id="172" w:name="_Toc182841420"/>
      <w:bookmarkStart w:id="173" w:name="_Toc181092599"/>
      <w:r>
        <w:rPr>
          <w:rFonts w:ascii="Times New Roman" w:eastAsia="黑体" w:hAnsi="Times New Roman" w:hint="eastAsia"/>
        </w:rPr>
        <w:lastRenderedPageBreak/>
        <w:t xml:space="preserve">10.4 </w:t>
      </w:r>
      <w:r>
        <w:rPr>
          <w:rFonts w:ascii="Times New Roman" w:eastAsia="黑体" w:hAnsi="Times New Roman" w:hint="eastAsia"/>
        </w:rPr>
        <w:t>计量与监测</w:t>
      </w:r>
      <w:bookmarkEnd w:id="172"/>
      <w:bookmarkEnd w:id="173"/>
    </w:p>
    <w:p w14:paraId="1702DB06" w14:textId="77777777" w:rsidR="00622EE7" w:rsidRDefault="00E60909">
      <w:pPr>
        <w:pStyle w:val="af3"/>
        <w:ind w:firstLineChars="0" w:firstLine="0"/>
        <w:contextualSpacing/>
      </w:pPr>
      <w:r>
        <w:rPr>
          <w:b/>
        </w:rPr>
        <w:t xml:space="preserve">10.4.1  </w:t>
      </w:r>
      <w:r>
        <w:t>楼前热量表是该栋楼与供热单位进行用热量结算的依据，而楼内住户则进行按户热量分摊，所以，每户应该有相应的装置作为对整栋楼的耗热量</w:t>
      </w:r>
      <w:proofErr w:type="gramStart"/>
      <w:r>
        <w:t>进行户</w:t>
      </w:r>
      <w:proofErr w:type="gramEnd"/>
      <w:r>
        <w:t>间分摊的依据。人</w:t>
      </w:r>
      <w:r>
        <w:t>体热舒适感存在显著差异，提供分室调节手段可以在保证居室热环境、提高热舒适度的同时，精确控制能量的消耗。热量表是实现热计量的重要器具，其准确性关系到热计量的正确实施和效果。供热企业和终端用户间的热量结算，应以热量表作为结算依据。用于结算的热量表应符合相关国家产品标准，且计量检定证书应在检定的有效期内。</w:t>
      </w:r>
    </w:p>
    <w:p w14:paraId="63992954" w14:textId="77777777" w:rsidR="00622EE7" w:rsidRDefault="00E60909">
      <w:pPr>
        <w:pStyle w:val="af3"/>
        <w:ind w:firstLineChars="0" w:firstLine="0"/>
        <w:contextualSpacing/>
      </w:pPr>
      <w:r>
        <w:rPr>
          <w:b/>
        </w:rPr>
        <w:t xml:space="preserve">10.4.2  </w:t>
      </w:r>
      <w:r>
        <w:t>在热源处设置能量计量装置，是实现用能总量量化管理的前提和条件，同时在热源处设置能量计量装置利于相对集中，也便于操作。《民用建筑节能条例》规定，实行集中供热的建筑应当安装供热系统调控装置、用热计量</w:t>
      </w:r>
      <w:r>
        <w:t>装置和室内温度调控装置，因此，对锅炉房、换热机房总供热量应进行计量，作为用能量化管理的依据。一次能源</w:t>
      </w:r>
      <w:r>
        <w:t>/</w:t>
      </w:r>
      <w:r>
        <w:t>资源的消耗量均应计量。供热锅炉房应设燃煤或燃气、燃油计量装置。集中供热系统包括的热源设备和输配系</w:t>
      </w:r>
      <w:proofErr w:type="gramStart"/>
      <w:r>
        <w:t>统设备</w:t>
      </w:r>
      <w:proofErr w:type="gramEnd"/>
      <w:r>
        <w:t>主要有锅炉、热水机组、热水泵等，循环水泵耗电量不仅是冷热源系统能耗的一部分，而且也反映出输送系统的用能效率，对于额定功率较大的设备宜单独设置电计量。</w:t>
      </w:r>
    </w:p>
    <w:p w14:paraId="05D3658B" w14:textId="77777777" w:rsidR="00622EE7" w:rsidRDefault="00E60909">
      <w:pPr>
        <w:pStyle w:val="af3"/>
        <w:ind w:firstLineChars="0" w:firstLine="0"/>
        <w:contextualSpacing/>
      </w:pPr>
      <w:r>
        <w:rPr>
          <w:b/>
        </w:rPr>
        <w:t xml:space="preserve">10.4.3  </w:t>
      </w:r>
      <w:r>
        <w:t>远传功能相较于传统的普通计量</w:t>
      </w:r>
      <w:proofErr w:type="gramStart"/>
      <w:r>
        <w:t>表增加</w:t>
      </w:r>
      <w:proofErr w:type="gramEnd"/>
      <w:r>
        <w:t>了信号采集、数据处理、存储及数据上传功能，可以实时将能耗数据上传给管理系统，是智慧运行的基础。</w:t>
      </w:r>
    </w:p>
    <w:p w14:paraId="19EB39CC" w14:textId="77777777" w:rsidR="00622EE7" w:rsidRDefault="00E60909">
      <w:pPr>
        <w:pStyle w:val="af3"/>
        <w:ind w:firstLineChars="0" w:firstLine="0"/>
        <w:contextualSpacing/>
      </w:pPr>
      <w:r>
        <w:t>计量管理系统</w:t>
      </w:r>
      <w:r>
        <w:t>是实现运行节能、系统优化的基础条件，</w:t>
      </w:r>
      <w:r>
        <w:rPr>
          <w:rFonts w:hint="eastAsia"/>
        </w:rPr>
        <w:t>能</w:t>
      </w:r>
      <w:r>
        <w:t>使建筑能耗可知、可见、可控。住宅建筑除公共区域的计量装置应具有远传功能，住户也要求每个单元</w:t>
      </w:r>
      <w:r>
        <w:t>(</w:t>
      </w:r>
      <w:r>
        <w:t>或楼栋</w:t>
      </w:r>
      <w:r>
        <w:t>)</w:t>
      </w:r>
      <w:r>
        <w:t>设置可远传的计量总表。</w:t>
      </w:r>
    </w:p>
    <w:p w14:paraId="701518B4" w14:textId="77777777" w:rsidR="00622EE7" w:rsidRDefault="00E60909">
      <w:pPr>
        <w:pStyle w:val="af3"/>
        <w:ind w:firstLineChars="0" w:firstLine="0"/>
        <w:contextualSpacing/>
      </w:pPr>
      <w:r>
        <w:rPr>
          <w:b/>
        </w:rPr>
        <w:t xml:space="preserve">10.4.4  </w:t>
      </w:r>
      <w:r>
        <w:t>空气污染物传感装置和智能化技术的普及，使对建筑内空气污染物的实时采集监测成为可能。当所监测的空气质量偏离理想阈值时，系统应做出警示，建筑管理方应对可能影响这些指标的系统做出及时的调试或调整。将监测发布系统与建筑内空气质量调控设备组成自动控制系统，可实现室内环境的智能化调控，在维持建筑室内环境健康舒适的同时减少不必要的能源消耗。</w:t>
      </w:r>
    </w:p>
    <w:p w14:paraId="7461AA2C" w14:textId="77777777" w:rsidR="00622EE7" w:rsidRDefault="00E60909">
      <w:pPr>
        <w:pStyle w:val="1"/>
      </w:pPr>
      <w:bookmarkStart w:id="174" w:name="_Toc182841421"/>
      <w:bookmarkStart w:id="175" w:name="_Toc181092600"/>
      <w:r>
        <w:lastRenderedPageBreak/>
        <w:t>11</w:t>
      </w:r>
      <w:r>
        <w:t xml:space="preserve"> </w:t>
      </w:r>
      <w:r>
        <w:rPr>
          <w:rFonts w:hint="eastAsia"/>
        </w:rPr>
        <w:t xml:space="preserve"> </w:t>
      </w:r>
      <w:r>
        <w:rPr>
          <w:rFonts w:hint="eastAsia"/>
        </w:rPr>
        <w:t>电气与智能化</w:t>
      </w:r>
      <w:bookmarkEnd w:id="174"/>
      <w:bookmarkEnd w:id="175"/>
    </w:p>
    <w:p w14:paraId="61CA52B1" w14:textId="77777777" w:rsidR="00622EE7" w:rsidRDefault="00E60909">
      <w:pPr>
        <w:spacing w:beforeLines="50" w:before="156" w:afterLines="50" w:after="156" w:line="360" w:lineRule="auto"/>
        <w:jc w:val="center"/>
        <w:outlineLvl w:val="1"/>
        <w:rPr>
          <w:rFonts w:ascii="Times New Roman" w:eastAsia="黑体" w:hAnsi="Times New Roman"/>
        </w:rPr>
      </w:pPr>
      <w:bookmarkStart w:id="176" w:name="_Toc181092601"/>
      <w:bookmarkStart w:id="177" w:name="_Toc182841422"/>
      <w:r>
        <w:rPr>
          <w:rFonts w:ascii="Times New Roman" w:eastAsia="黑体" w:hAnsi="Times New Roman" w:hint="eastAsia"/>
        </w:rPr>
        <w:t>1</w:t>
      </w:r>
      <w:r>
        <w:rPr>
          <w:rFonts w:ascii="Times New Roman" w:eastAsia="黑体" w:hAnsi="Times New Roman"/>
        </w:rPr>
        <w:t xml:space="preserve">1.1 </w:t>
      </w:r>
      <w:r>
        <w:rPr>
          <w:rFonts w:ascii="Times New Roman" w:eastAsia="黑体" w:hAnsi="Times New Roman" w:hint="eastAsia"/>
        </w:rPr>
        <w:t>充电与消防</w:t>
      </w:r>
      <w:bookmarkEnd w:id="176"/>
      <w:bookmarkEnd w:id="177"/>
    </w:p>
    <w:p w14:paraId="29D3421E" w14:textId="77777777" w:rsidR="00622EE7" w:rsidRDefault="00E60909">
      <w:pPr>
        <w:pStyle w:val="af7"/>
        <w:spacing w:after="0" w:afterAutospacing="0"/>
        <w:rPr>
          <w:b w:val="0"/>
        </w:rPr>
      </w:pPr>
      <w:r>
        <w:t xml:space="preserve">11.1.3  </w:t>
      </w:r>
      <w:r>
        <w:rPr>
          <w:rFonts w:hint="eastAsia"/>
          <w:b w:val="0"/>
        </w:rPr>
        <w:t>报警</w:t>
      </w:r>
      <w:r>
        <w:rPr>
          <w:b w:val="0"/>
        </w:rPr>
        <w:t>系统由感应器、控制器和报警器三部分组成，当电动车进入电梯时，感应器能够检测到电动车的存在，控制器随后对电动车进行检测，一旦发现电动车，就会自动触发报警器，发出警报信号。</w:t>
      </w:r>
    </w:p>
    <w:p w14:paraId="289C4F5E" w14:textId="77777777" w:rsidR="00622EE7" w:rsidRDefault="00E60909">
      <w:pPr>
        <w:pStyle w:val="af7"/>
        <w:spacing w:after="0" w:afterAutospacing="0"/>
        <w:rPr>
          <w:b w:val="0"/>
        </w:rPr>
      </w:pPr>
      <w:r>
        <w:t xml:space="preserve">11.1.4  </w:t>
      </w:r>
      <w:r>
        <w:rPr>
          <w:b w:val="0"/>
        </w:rPr>
        <w:t>场所内的充电设施宜设有遮雨措施，当采用充电柜时，充电</w:t>
      </w:r>
      <w:proofErr w:type="gramStart"/>
      <w:r>
        <w:rPr>
          <w:b w:val="0"/>
        </w:rPr>
        <w:t>柜设置</w:t>
      </w:r>
      <w:proofErr w:type="gramEnd"/>
      <w:r>
        <w:rPr>
          <w:b w:val="0"/>
        </w:rPr>
        <w:t>区域距离建筑的安全出口不应小于</w:t>
      </w:r>
      <w:r>
        <w:rPr>
          <w:b w:val="0"/>
        </w:rPr>
        <w:t>6m</w:t>
      </w:r>
      <w:r>
        <w:rPr>
          <w:b w:val="0"/>
        </w:rPr>
        <w:t>。充电设施宜具备充满自动断电、充电异常自动断电、电池故障自动断电、过载保护、短路保护、剩余电流保护、充电故障报警、功率监测、高温报警等功能。</w:t>
      </w:r>
    </w:p>
    <w:p w14:paraId="0F9D9428" w14:textId="77777777" w:rsidR="00622EE7" w:rsidRDefault="00E60909">
      <w:pPr>
        <w:pStyle w:val="af7"/>
        <w:spacing w:after="0" w:afterAutospacing="0"/>
        <w:rPr>
          <w:b w:val="0"/>
        </w:rPr>
      </w:pPr>
      <w:r>
        <w:t xml:space="preserve">11.1.5  </w:t>
      </w:r>
      <w:r>
        <w:rPr>
          <w:b w:val="0"/>
        </w:rPr>
        <w:t>如果消防设备配电线缆与非消防配电线缆共用电缆桥架，可能会因为非消防线缆的故障或损坏影响到消防线缆的正常供电，从而危及消防设备的运行。此外，非消防线缆可能因日常使用中的过载、短路等问题引发火灾，进一步加剧火灾风险。</w:t>
      </w:r>
    </w:p>
    <w:p w14:paraId="2B496F31" w14:textId="77777777" w:rsidR="00622EE7" w:rsidRDefault="00E60909">
      <w:pPr>
        <w:pStyle w:val="af7"/>
        <w:spacing w:after="0" w:afterAutospacing="0"/>
        <w:rPr>
          <w:b w:val="0"/>
        </w:rPr>
      </w:pPr>
      <w:r>
        <w:t xml:space="preserve">11.1.6  </w:t>
      </w:r>
      <w:r>
        <w:rPr>
          <w:b w:val="0"/>
        </w:rPr>
        <w:t>两室之间楼板或墙板穿管后有缝隙，无法起到防火作用，故电线电缆在穿过楼板、隔墙等位置要提高防火性能。</w:t>
      </w:r>
    </w:p>
    <w:p w14:paraId="3B3B682B" w14:textId="77777777" w:rsidR="00622EE7" w:rsidRDefault="00E60909">
      <w:pPr>
        <w:pStyle w:val="af7"/>
        <w:spacing w:after="0" w:afterAutospacing="0"/>
        <w:rPr>
          <w:b w:val="0"/>
        </w:rPr>
      </w:pPr>
      <w:r>
        <w:t xml:space="preserve">11.1.7  </w:t>
      </w:r>
      <w:r>
        <w:rPr>
          <w:b w:val="0"/>
        </w:rPr>
        <w:t>消防控制室联动操作是通过对消防控制室内的设备进行远程监控和操作，实现对火灾的预防和初期火灾的及时扑灭。这种操作方式能够及时发现火灾、远程控制消防设施、提高应急反应能力，提高火灾应对的效率和效果，保障人员和财产的安全。</w:t>
      </w:r>
    </w:p>
    <w:p w14:paraId="71180A64" w14:textId="77777777" w:rsidR="00622EE7" w:rsidRDefault="00E60909">
      <w:pPr>
        <w:spacing w:line="360" w:lineRule="auto"/>
        <w:rPr>
          <w:rFonts w:ascii="Times New Roman" w:hAnsi="Times New Roman"/>
        </w:rPr>
      </w:pPr>
      <w:r>
        <w:rPr>
          <w:rFonts w:ascii="Times New Roman" w:hAnsi="Times New Roman"/>
          <w:b/>
        </w:rPr>
        <w:t xml:space="preserve">11.1.8  </w:t>
      </w:r>
      <w:r>
        <w:rPr>
          <w:rFonts w:ascii="Times New Roman" w:hAnsi="Times New Roman"/>
        </w:rPr>
        <w:t>矿物绝缘电缆不含有机材料，所以具有不燃、</w:t>
      </w:r>
      <w:proofErr w:type="gramStart"/>
      <w:r>
        <w:rPr>
          <w:rFonts w:ascii="Times New Roman" w:hAnsi="Times New Roman"/>
        </w:rPr>
        <w:t>无烟和耐火</w:t>
      </w:r>
      <w:proofErr w:type="gramEnd"/>
      <w:r>
        <w:rPr>
          <w:rFonts w:ascii="Times New Roman" w:hAnsi="Times New Roman"/>
        </w:rPr>
        <w:t>的特性，可耐高温运行，可耐受的连续工作温度达</w:t>
      </w:r>
      <w:r>
        <w:rPr>
          <w:rFonts w:ascii="Times New Roman" w:hAnsi="Times New Roman"/>
        </w:rPr>
        <w:t>250℃</w:t>
      </w:r>
      <w:r>
        <w:rPr>
          <w:rFonts w:ascii="Times New Roman" w:hAnsi="Times New Roman"/>
        </w:rPr>
        <w:t>，具有寿命长、防水、防爆、机械强度高的特性。</w:t>
      </w:r>
    </w:p>
    <w:p w14:paraId="42539730" w14:textId="77777777" w:rsidR="00622EE7" w:rsidRDefault="00E60909">
      <w:pPr>
        <w:spacing w:beforeLines="50" w:before="156" w:afterLines="50" w:after="156" w:line="360" w:lineRule="auto"/>
        <w:jc w:val="center"/>
        <w:outlineLvl w:val="1"/>
        <w:rPr>
          <w:rFonts w:ascii="Times New Roman" w:eastAsia="黑体" w:hAnsi="Times New Roman"/>
        </w:rPr>
      </w:pPr>
      <w:bookmarkStart w:id="178" w:name="_Toc182841423"/>
      <w:bookmarkStart w:id="179" w:name="_Toc181092602"/>
      <w:r>
        <w:rPr>
          <w:rFonts w:ascii="Times New Roman" w:eastAsia="黑体" w:hAnsi="Times New Roman" w:hint="eastAsia"/>
        </w:rPr>
        <w:t>1</w:t>
      </w:r>
      <w:r>
        <w:rPr>
          <w:rFonts w:ascii="Times New Roman" w:eastAsia="黑体" w:hAnsi="Times New Roman"/>
        </w:rPr>
        <w:t xml:space="preserve">1.2 </w:t>
      </w:r>
      <w:r>
        <w:rPr>
          <w:rFonts w:ascii="Times New Roman" w:eastAsia="黑体" w:hAnsi="Times New Roman" w:hint="eastAsia"/>
        </w:rPr>
        <w:t>配电</w:t>
      </w:r>
      <w:bookmarkEnd w:id="178"/>
      <w:bookmarkEnd w:id="179"/>
    </w:p>
    <w:p w14:paraId="1BDBE5D4" w14:textId="77777777" w:rsidR="00622EE7" w:rsidRDefault="00E60909">
      <w:pPr>
        <w:spacing w:line="360" w:lineRule="auto"/>
        <w:rPr>
          <w:rFonts w:ascii="Times New Roman" w:hAnsi="Times New Roman"/>
        </w:rPr>
      </w:pPr>
      <w:r>
        <w:rPr>
          <w:rFonts w:ascii="Times New Roman" w:hAnsi="Times New Roman"/>
          <w:b/>
        </w:rPr>
        <w:t xml:space="preserve">11.2.1  </w:t>
      </w:r>
      <w:r>
        <w:rPr>
          <w:rFonts w:ascii="Times New Roman" w:hAnsi="Times New Roman"/>
        </w:rPr>
        <w:t>依据《全国民用建筑工程设计技术措施：电气》第</w:t>
      </w:r>
      <w:r>
        <w:rPr>
          <w:rFonts w:ascii="Times New Roman" w:hAnsi="Times New Roman"/>
        </w:rPr>
        <w:t>5.6.4</w:t>
      </w:r>
      <w:r>
        <w:rPr>
          <w:rFonts w:ascii="Times New Roman" w:hAnsi="Times New Roman"/>
        </w:rPr>
        <w:t>条的规定，</w:t>
      </w:r>
      <w:r>
        <w:rPr>
          <w:rFonts w:ascii="Times New Roman" w:hAnsi="Times New Roman"/>
        </w:rPr>
        <w:t>1.3</w:t>
      </w:r>
      <w:r>
        <w:rPr>
          <w:rFonts w:ascii="Times New Roman" w:hAnsi="Times New Roman"/>
        </w:rPr>
        <w:t>倍的规定可提高配电安全性、可靠性和未来可扩展性。</w:t>
      </w:r>
    </w:p>
    <w:p w14:paraId="5E0CC43D" w14:textId="77777777" w:rsidR="00622EE7" w:rsidRDefault="00E60909">
      <w:pPr>
        <w:spacing w:line="360" w:lineRule="auto"/>
        <w:rPr>
          <w:rFonts w:ascii="Times New Roman" w:hAnsi="Times New Roman"/>
        </w:rPr>
      </w:pPr>
      <w:r>
        <w:rPr>
          <w:rFonts w:ascii="Times New Roman" w:hAnsi="Times New Roman"/>
          <w:b/>
        </w:rPr>
        <w:t xml:space="preserve">11.2.2  </w:t>
      </w:r>
      <w:r>
        <w:rPr>
          <w:rFonts w:ascii="Times New Roman" w:hAnsi="Times New Roman"/>
        </w:rPr>
        <w:t>首层门厅大堂是归家动线中重要的环节，电表箱、配电箱如明露在住宅首层门厅内，影响住户的入户体验感，导致住宅品质的降低，同时也会带来一定</w:t>
      </w:r>
      <w:r>
        <w:rPr>
          <w:rFonts w:ascii="Times New Roman" w:hAnsi="Times New Roman"/>
        </w:rPr>
        <w:lastRenderedPageBreak/>
        <w:t>程度的安全隐患，可采用安装在专用配电竖井</w:t>
      </w:r>
      <w:r>
        <w:rPr>
          <w:rFonts w:ascii="Times New Roman" w:hAnsi="Times New Roman"/>
        </w:rPr>
        <w:t>(</w:t>
      </w:r>
      <w:r>
        <w:rPr>
          <w:rFonts w:ascii="Times New Roman" w:hAnsi="Times New Roman"/>
        </w:rPr>
        <w:t>小间</w:t>
      </w:r>
      <w:r>
        <w:rPr>
          <w:rFonts w:ascii="Times New Roman" w:hAnsi="Times New Roman"/>
        </w:rPr>
        <w:t>)</w:t>
      </w:r>
      <w:r>
        <w:rPr>
          <w:rFonts w:ascii="Times New Roman" w:hAnsi="Times New Roman"/>
        </w:rPr>
        <w:t>等方式避免明装。</w:t>
      </w:r>
    </w:p>
    <w:p w14:paraId="2AD14A4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11.2.3  </w:t>
      </w:r>
      <w:r>
        <w:rPr>
          <w:rFonts w:ascii="Times New Roman" w:eastAsia="宋体" w:hAnsi="Times New Roman"/>
          <w:color w:val="auto"/>
        </w:rPr>
        <w:t>进入配电柜的导线应满足一定的线径要求，以确保电流的稳定传输和电气设备的正常工作。具体到商铺配电，最小线径的要求是为了确保在高负荷情况下，电线仍能</w:t>
      </w:r>
      <w:r>
        <w:rPr>
          <w:rFonts w:ascii="Times New Roman" w:eastAsia="宋体" w:hAnsi="Times New Roman"/>
          <w:color w:val="auto"/>
        </w:rPr>
        <w:t>安全承载电流，避免因线径过小而导致的过热或火灾风险。</w:t>
      </w:r>
    </w:p>
    <w:p w14:paraId="3A1B51C5" w14:textId="77777777" w:rsidR="00622EE7" w:rsidRDefault="00E60909">
      <w:pPr>
        <w:spacing w:beforeLines="50" w:before="156" w:afterLines="50" w:after="156" w:line="360" w:lineRule="auto"/>
        <w:jc w:val="center"/>
        <w:outlineLvl w:val="1"/>
        <w:rPr>
          <w:rFonts w:ascii="Times New Roman" w:eastAsia="黑体" w:hAnsi="Times New Roman"/>
        </w:rPr>
      </w:pPr>
      <w:bookmarkStart w:id="180" w:name="_Toc181092603"/>
      <w:bookmarkStart w:id="181" w:name="_Toc182841424"/>
      <w:r>
        <w:rPr>
          <w:rFonts w:ascii="Times New Roman" w:eastAsia="黑体" w:hAnsi="Times New Roman" w:hint="eastAsia"/>
        </w:rPr>
        <w:t>1</w:t>
      </w:r>
      <w:r>
        <w:rPr>
          <w:rFonts w:ascii="Times New Roman" w:eastAsia="黑体" w:hAnsi="Times New Roman"/>
        </w:rPr>
        <w:t xml:space="preserve">1.3 </w:t>
      </w:r>
      <w:r>
        <w:rPr>
          <w:rFonts w:ascii="Times New Roman" w:eastAsia="黑体" w:hAnsi="Times New Roman" w:hint="eastAsia"/>
        </w:rPr>
        <w:t>照明</w:t>
      </w:r>
      <w:bookmarkEnd w:id="180"/>
      <w:bookmarkEnd w:id="181"/>
    </w:p>
    <w:p w14:paraId="451CD373" w14:textId="77777777" w:rsidR="00622EE7" w:rsidRDefault="00E60909">
      <w:pPr>
        <w:pStyle w:val="af7"/>
        <w:spacing w:after="0" w:afterAutospacing="0"/>
        <w:rPr>
          <w:b w:val="0"/>
        </w:rPr>
      </w:pPr>
      <w:r>
        <w:t xml:space="preserve">11.3.1  </w:t>
      </w:r>
      <w:r>
        <w:rPr>
          <w:b w:val="0"/>
        </w:rPr>
        <w:t>公共区域照明应根据人员活动及自然光水平，设置自动感应控制或其他节能控制措施，如安装通过红外、雷达、声波等实现的自动控制装置。</w:t>
      </w:r>
    </w:p>
    <w:p w14:paraId="7DE8B74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11.3.2  </w:t>
      </w:r>
      <w:r>
        <w:rPr>
          <w:rFonts w:ascii="Times New Roman" w:eastAsia="宋体" w:hAnsi="Times New Roman"/>
          <w:color w:val="auto"/>
        </w:rPr>
        <w:t>老年人视力会随着身体机能下降而减弱，为了满足</w:t>
      </w:r>
      <w:proofErr w:type="gramStart"/>
      <w:r>
        <w:rPr>
          <w:rFonts w:ascii="Times New Roman" w:eastAsia="宋体" w:hAnsi="Times New Roman"/>
          <w:color w:val="auto"/>
        </w:rPr>
        <w:t>适</w:t>
      </w:r>
      <w:proofErr w:type="gramEnd"/>
      <w:r>
        <w:rPr>
          <w:rFonts w:ascii="Times New Roman" w:eastAsia="宋体" w:hAnsi="Times New Roman"/>
          <w:color w:val="auto"/>
        </w:rPr>
        <w:t>老化需求，参照现行国家标准《建筑照明设计标准》</w:t>
      </w:r>
      <w:r>
        <w:rPr>
          <w:rFonts w:ascii="Times New Roman" w:eastAsia="宋体" w:hAnsi="Times New Roman"/>
          <w:color w:val="auto"/>
        </w:rPr>
        <w:t>GB/T 50034-2024</w:t>
      </w:r>
      <w:r>
        <w:rPr>
          <w:rFonts w:ascii="Times New Roman" w:eastAsia="宋体" w:hAnsi="Times New Roman"/>
          <w:color w:val="auto"/>
        </w:rPr>
        <w:t>表</w:t>
      </w:r>
      <w:r>
        <w:rPr>
          <w:rFonts w:ascii="Times New Roman" w:eastAsia="宋体" w:hAnsi="Times New Roman"/>
          <w:color w:val="auto"/>
        </w:rPr>
        <w:t>5.3.7</w:t>
      </w:r>
      <w:r>
        <w:rPr>
          <w:rFonts w:ascii="Times New Roman" w:eastAsia="宋体" w:hAnsi="Times New Roman"/>
          <w:color w:val="auto"/>
        </w:rPr>
        <w:t>的要求，适当限制公共空间最低标准。</w:t>
      </w:r>
    </w:p>
    <w:p w14:paraId="63CCB44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11.3.3 </w:t>
      </w:r>
      <w:r>
        <w:rPr>
          <w:rFonts w:ascii="Times New Roman" w:eastAsia="宋体" w:hAnsi="Times New Roman"/>
          <w:color w:val="auto"/>
        </w:rPr>
        <w:t xml:space="preserve"> </w:t>
      </w:r>
      <w:r>
        <w:rPr>
          <w:rFonts w:ascii="Times New Roman" w:eastAsia="宋体" w:hAnsi="Times New Roman"/>
          <w:color w:val="auto"/>
        </w:rPr>
        <w:t>如当营造温馨的氛围时可采用色温不大于</w:t>
      </w:r>
      <w:r>
        <w:rPr>
          <w:rFonts w:ascii="Times New Roman" w:eastAsia="宋体" w:hAnsi="Times New Roman"/>
          <w:color w:val="auto"/>
        </w:rPr>
        <w:t>4000K</w:t>
      </w:r>
      <w:r>
        <w:rPr>
          <w:rFonts w:ascii="Times New Roman" w:eastAsia="宋体" w:hAnsi="Times New Roman"/>
          <w:color w:val="auto"/>
        </w:rPr>
        <w:t>的灯具。</w:t>
      </w:r>
    </w:p>
    <w:p w14:paraId="3F2BECC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11.3.4  </w:t>
      </w:r>
      <w:r>
        <w:rPr>
          <w:rFonts w:ascii="Times New Roman" w:eastAsia="宋体" w:hAnsi="Times New Roman"/>
          <w:color w:val="auto"/>
        </w:rPr>
        <w:t>可采用电网供电配合光伏混合</w:t>
      </w:r>
      <w:r>
        <w:rPr>
          <w:rFonts w:ascii="Times New Roman" w:eastAsia="宋体" w:hAnsi="Times New Roman"/>
          <w:color w:val="auto"/>
        </w:rPr>
        <w:t>供电，保障阴雨天气灯具正常工作，同时节约用电成本。</w:t>
      </w:r>
    </w:p>
    <w:p w14:paraId="1326FC2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11.3.5  </w:t>
      </w:r>
      <w:proofErr w:type="gramStart"/>
      <w:r>
        <w:rPr>
          <w:rFonts w:ascii="Times New Roman" w:eastAsia="宋体" w:hAnsi="Times New Roman"/>
          <w:color w:val="auto"/>
        </w:rPr>
        <w:t>溢</w:t>
      </w:r>
      <w:proofErr w:type="gramEnd"/>
      <w:r>
        <w:rPr>
          <w:rFonts w:ascii="Times New Roman" w:eastAsia="宋体" w:hAnsi="Times New Roman"/>
          <w:color w:val="auto"/>
        </w:rPr>
        <w:t>散光限度参考现行国家标准《建筑环境通用规范》</w:t>
      </w:r>
      <w:r>
        <w:rPr>
          <w:rFonts w:ascii="Times New Roman" w:eastAsia="宋体" w:hAnsi="Times New Roman"/>
          <w:color w:val="auto"/>
        </w:rPr>
        <w:t>GB 55016-2021</w:t>
      </w:r>
      <w:r>
        <w:rPr>
          <w:rFonts w:ascii="Times New Roman" w:eastAsia="宋体" w:hAnsi="Times New Roman"/>
          <w:color w:val="auto"/>
        </w:rPr>
        <w:t>中</w:t>
      </w:r>
      <w:r>
        <w:rPr>
          <w:rFonts w:ascii="Times New Roman" w:eastAsia="宋体" w:hAnsi="Times New Roman"/>
          <w:color w:val="auto"/>
        </w:rPr>
        <w:t>3.4.5</w:t>
      </w:r>
      <w:r>
        <w:rPr>
          <w:rFonts w:ascii="Times New Roman" w:eastAsia="宋体" w:hAnsi="Times New Roman"/>
          <w:color w:val="auto"/>
        </w:rPr>
        <w:t>的规定，测量标准参考现行国家标准《室外照明干扰光测量规范》</w:t>
      </w:r>
      <w:r>
        <w:rPr>
          <w:rFonts w:ascii="Times New Roman" w:eastAsia="宋体" w:hAnsi="Times New Roman"/>
          <w:color w:val="auto"/>
        </w:rPr>
        <w:t>GB/T 38439-2019</w:t>
      </w:r>
      <w:r>
        <w:rPr>
          <w:rFonts w:ascii="Times New Roman" w:eastAsia="宋体" w:hAnsi="Times New Roman"/>
          <w:color w:val="auto"/>
        </w:rPr>
        <w:t>的相关规定，限制</w:t>
      </w:r>
      <w:proofErr w:type="gramStart"/>
      <w:r>
        <w:rPr>
          <w:rFonts w:ascii="Times New Roman" w:eastAsia="宋体" w:hAnsi="Times New Roman"/>
          <w:color w:val="auto"/>
        </w:rPr>
        <w:t>溢</w:t>
      </w:r>
      <w:proofErr w:type="gramEnd"/>
      <w:r>
        <w:rPr>
          <w:rFonts w:ascii="Times New Roman" w:eastAsia="宋体" w:hAnsi="Times New Roman"/>
          <w:color w:val="auto"/>
        </w:rPr>
        <w:t>散光可减轻眩光造成的影响。</w:t>
      </w:r>
    </w:p>
    <w:p w14:paraId="59A48C6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11.3.6  </w:t>
      </w:r>
      <w:r>
        <w:rPr>
          <w:rFonts w:ascii="Times New Roman" w:eastAsia="宋体" w:hAnsi="Times New Roman"/>
          <w:color w:val="auto"/>
        </w:rPr>
        <w:t>车库智能照明控制系统需要通过对传感器、通信模组、驱动电源、网络设备和软件系统的调整和组合搭配，来满足地下车库的</w:t>
      </w:r>
      <w:r>
        <w:rPr>
          <w:rFonts w:ascii="Times New Roman" w:eastAsia="宋体" w:hAnsi="Times New Roman"/>
          <w:color w:val="auto"/>
        </w:rPr>
        <w:t>“</w:t>
      </w:r>
      <w:r>
        <w:rPr>
          <w:rFonts w:ascii="Times New Roman" w:eastAsia="宋体" w:hAnsi="Times New Roman"/>
          <w:color w:val="auto"/>
        </w:rPr>
        <w:t>随机性、间歇性等特点</w:t>
      </w:r>
      <w:r>
        <w:rPr>
          <w:rFonts w:ascii="Times New Roman" w:eastAsia="宋体" w:hAnsi="Times New Roman"/>
          <w:color w:val="auto"/>
        </w:rPr>
        <w:t>”</w:t>
      </w:r>
      <w:r>
        <w:rPr>
          <w:rFonts w:ascii="Times New Roman" w:eastAsia="宋体" w:hAnsi="Times New Roman"/>
          <w:color w:val="auto"/>
        </w:rPr>
        <w:t>，按需照明；室外道路、景观等智能照明系统，景观照明区域应采用常亮与感应、时控</w:t>
      </w:r>
      <w:r>
        <w:rPr>
          <w:rFonts w:ascii="Times New Roman" w:eastAsia="宋体" w:hAnsi="Times New Roman"/>
          <w:color w:val="auto"/>
        </w:rPr>
        <w:t>等多模式，在夜间或天气阴暗时，系统应自动增加照明亮度，确保公共场所的安全；在白天或光线充足的情况下，系统应降低照明亮度，节省能源。采用光控感应灯具是实现景观照明模式调节的常用方式。可根据实际环境和需求，自动调节照明设备的亮度、色温等参数。</w:t>
      </w:r>
    </w:p>
    <w:p w14:paraId="18AA5D20" w14:textId="77777777" w:rsidR="00622EE7" w:rsidRDefault="00E60909">
      <w:pPr>
        <w:spacing w:beforeLines="50" w:before="156" w:afterLines="50" w:after="156" w:line="360" w:lineRule="auto"/>
        <w:jc w:val="center"/>
        <w:outlineLvl w:val="1"/>
        <w:rPr>
          <w:rFonts w:ascii="Times New Roman" w:eastAsia="黑体" w:hAnsi="Times New Roman"/>
        </w:rPr>
      </w:pPr>
      <w:bookmarkStart w:id="182" w:name="_Toc182841425"/>
      <w:bookmarkStart w:id="183" w:name="_Toc181092604"/>
      <w:r>
        <w:rPr>
          <w:rFonts w:ascii="Times New Roman" w:eastAsia="黑体" w:hAnsi="Times New Roman" w:hint="eastAsia"/>
        </w:rPr>
        <w:t>1</w:t>
      </w:r>
      <w:r>
        <w:rPr>
          <w:rFonts w:ascii="Times New Roman" w:eastAsia="黑体" w:hAnsi="Times New Roman"/>
        </w:rPr>
        <w:t xml:space="preserve">1.4 </w:t>
      </w:r>
      <w:r>
        <w:rPr>
          <w:rFonts w:ascii="Times New Roman" w:eastAsia="黑体" w:hAnsi="Times New Roman" w:hint="eastAsia"/>
        </w:rPr>
        <w:t>智慧安防</w:t>
      </w:r>
      <w:bookmarkEnd w:id="182"/>
      <w:bookmarkEnd w:id="183"/>
    </w:p>
    <w:p w14:paraId="5AC3601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11.4.1  </w:t>
      </w:r>
      <w:r>
        <w:rPr>
          <w:rFonts w:ascii="Times New Roman" w:eastAsia="宋体" w:hAnsi="Times New Roman"/>
          <w:color w:val="auto"/>
        </w:rPr>
        <w:t>集成管理是一种效率和效果并重的管理模式，它突出了一体化的整合思想，管理对象为以信息为主的智力资源，提高技术含量，激发知识的潜在效力成为集成管理的主要任务。</w:t>
      </w:r>
    </w:p>
    <w:p w14:paraId="1449B5B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11.4.2  </w:t>
      </w:r>
      <w:r>
        <w:rPr>
          <w:rFonts w:ascii="Times New Roman" w:eastAsia="宋体" w:hAnsi="Times New Roman"/>
          <w:color w:val="auto"/>
        </w:rPr>
        <w:t>构建智慧安防小区，促进小区的和谐稳定，增强居民的安全感和幸福感，</w:t>
      </w:r>
      <w:r>
        <w:rPr>
          <w:rFonts w:ascii="Times New Roman" w:eastAsia="宋体" w:hAnsi="Times New Roman"/>
          <w:color w:val="auto"/>
        </w:rPr>
        <w:lastRenderedPageBreak/>
        <w:t>提高居民的生活水平。楼宇对讲在多层或高层建筑中实现访客、住户和物业管理中心三方相互通话、进行信息交流并实现对小区安全出入通道控制的管理系统，其仅可以增强安保工作，也可以减少许多不必要的上下楼，使沟通更方便更快捷，有条件时，也可集成遥控开锁、</w:t>
      </w:r>
      <w:proofErr w:type="gramStart"/>
      <w:r>
        <w:rPr>
          <w:rFonts w:ascii="Times New Roman" w:eastAsia="宋体" w:hAnsi="Times New Roman"/>
          <w:color w:val="auto"/>
        </w:rPr>
        <w:t>访客呼梯等</w:t>
      </w:r>
      <w:proofErr w:type="gramEnd"/>
      <w:r>
        <w:rPr>
          <w:rFonts w:ascii="Times New Roman" w:eastAsia="宋体" w:hAnsi="Times New Roman"/>
          <w:color w:val="auto"/>
        </w:rPr>
        <w:t>功能。</w:t>
      </w:r>
    </w:p>
    <w:p w14:paraId="6ACDB84C" w14:textId="77777777" w:rsidR="00622EE7" w:rsidRDefault="00E60909">
      <w:pPr>
        <w:pStyle w:val="af8"/>
      </w:pPr>
      <w:r>
        <w:rPr>
          <w:b/>
        </w:rPr>
        <w:t xml:space="preserve">11.4.3  </w:t>
      </w:r>
      <w:r>
        <w:t>智能警戒摄像机，周界报警系统应支持多种入侵报警联动功能。</w:t>
      </w:r>
    </w:p>
    <w:p w14:paraId="712434FE" w14:textId="77777777" w:rsidR="00622EE7" w:rsidRDefault="00E60909">
      <w:pPr>
        <w:pStyle w:val="af8"/>
      </w:pPr>
      <w:r>
        <w:rPr>
          <w:b/>
        </w:rPr>
        <w:t xml:space="preserve">11.4.5  </w:t>
      </w:r>
      <w:r>
        <w:t>车辆道闸系统安装智能摄像机，能够识别出黑名单车辆进行报警。</w:t>
      </w:r>
    </w:p>
    <w:p w14:paraId="1511D802" w14:textId="77777777" w:rsidR="00622EE7" w:rsidRDefault="00E60909">
      <w:pPr>
        <w:pStyle w:val="af8"/>
      </w:pPr>
      <w:r>
        <w:rPr>
          <w:b/>
        </w:rPr>
        <w:t xml:space="preserve">11.4.6  </w:t>
      </w:r>
      <w:r>
        <w:t>智能门锁可</w:t>
      </w:r>
      <w:proofErr w:type="gramStart"/>
      <w:r>
        <w:t>通过蓝牙通信</w:t>
      </w:r>
      <w:proofErr w:type="gramEnd"/>
      <w:r>
        <w:t>技</w:t>
      </w:r>
      <w:r>
        <w:t>术、身份认证、实时监控和报警系统，提供更高级安全性；智能门磁、红外幕帘可通过探测器识别入侵的方向，在用户合法地在设防区域内活动时不会触发报警系统，只有在非法入侵者从外部侵入时才会触发报警。</w:t>
      </w:r>
    </w:p>
    <w:p w14:paraId="68986F35" w14:textId="77777777" w:rsidR="00622EE7" w:rsidRDefault="00E60909">
      <w:pPr>
        <w:spacing w:beforeLines="50" w:before="156" w:afterLines="50" w:after="156" w:line="360" w:lineRule="auto"/>
        <w:jc w:val="center"/>
        <w:outlineLvl w:val="1"/>
        <w:rPr>
          <w:rFonts w:ascii="Times New Roman" w:eastAsia="黑体" w:hAnsi="Times New Roman"/>
        </w:rPr>
      </w:pPr>
      <w:bookmarkStart w:id="184" w:name="_Toc181092605"/>
      <w:bookmarkStart w:id="185" w:name="_Toc182841426"/>
      <w:r>
        <w:rPr>
          <w:rFonts w:ascii="Times New Roman" w:eastAsia="黑体" w:hAnsi="Times New Roman" w:hint="eastAsia"/>
        </w:rPr>
        <w:t>1</w:t>
      </w:r>
      <w:r>
        <w:rPr>
          <w:rFonts w:ascii="Times New Roman" w:eastAsia="黑体" w:hAnsi="Times New Roman"/>
        </w:rPr>
        <w:t xml:space="preserve">1.5 </w:t>
      </w:r>
      <w:r>
        <w:rPr>
          <w:rFonts w:ascii="Times New Roman" w:eastAsia="黑体" w:hAnsi="Times New Roman" w:hint="eastAsia"/>
        </w:rPr>
        <w:t>数字家庭</w:t>
      </w:r>
      <w:bookmarkEnd w:id="184"/>
      <w:bookmarkEnd w:id="185"/>
    </w:p>
    <w:p w14:paraId="3AEF4415" w14:textId="77777777" w:rsidR="00622EE7" w:rsidRDefault="00E60909">
      <w:pPr>
        <w:pStyle w:val="af8"/>
      </w:pPr>
      <w:r>
        <w:rPr>
          <w:b/>
        </w:rPr>
        <w:t xml:space="preserve">11.5.1  </w:t>
      </w:r>
      <w:r>
        <w:t>预埋线管和线槽或桥架位置和尺寸应符合施工图设计要求，管线槽内导线的总截面积（包括外护层）不宜超过管槽截面积</w:t>
      </w:r>
      <w:r>
        <w:t>60%</w:t>
      </w:r>
      <w:r>
        <w:t>。</w:t>
      </w:r>
    </w:p>
    <w:p w14:paraId="0813AED3" w14:textId="77777777" w:rsidR="00622EE7" w:rsidRDefault="00E60909">
      <w:pPr>
        <w:spacing w:line="360" w:lineRule="auto"/>
        <w:rPr>
          <w:rFonts w:ascii="Times New Roman" w:hAnsi="Times New Roman"/>
        </w:rPr>
      </w:pPr>
      <w:r>
        <w:rPr>
          <w:rFonts w:ascii="Times New Roman" w:hAnsi="Times New Roman"/>
          <w:b/>
        </w:rPr>
        <w:t xml:space="preserve">11.5.2 </w:t>
      </w:r>
      <w:r>
        <w:rPr>
          <w:rFonts w:ascii="Times New Roman" w:hAnsi="Times New Roman"/>
        </w:rPr>
        <w:t xml:space="preserve"> </w:t>
      </w:r>
      <w:r>
        <w:rPr>
          <w:rFonts w:ascii="Times New Roman" w:hAnsi="Times New Roman"/>
        </w:rPr>
        <w:t>插座、照明、电话、电视线路敷设设计为避免</w:t>
      </w:r>
      <w:r>
        <w:rPr>
          <w:rFonts w:ascii="Times New Roman" w:hAnsi="Times New Roman" w:hint="eastAsia"/>
        </w:rPr>
        <w:t>用户</w:t>
      </w:r>
      <w:r>
        <w:rPr>
          <w:rFonts w:ascii="Times New Roman" w:hAnsi="Times New Roman"/>
        </w:rPr>
        <w:t>入住后装修重新敷设线路造成巨大浪费，在做住宅室内线路敷设设计时，提前进行装修设计</w:t>
      </w:r>
      <w:r>
        <w:rPr>
          <w:rFonts w:ascii="Times New Roman" w:hAnsi="Times New Roman"/>
        </w:rPr>
        <w:t xml:space="preserve"> </w:t>
      </w:r>
      <w:r>
        <w:rPr>
          <w:rFonts w:ascii="Times New Roman" w:hAnsi="Times New Roman"/>
        </w:rPr>
        <w:t>。</w:t>
      </w:r>
    </w:p>
    <w:p w14:paraId="76269C48" w14:textId="77777777" w:rsidR="00622EE7" w:rsidRDefault="00E60909">
      <w:pPr>
        <w:pStyle w:val="af8"/>
      </w:pPr>
      <w:r>
        <w:rPr>
          <w:b/>
        </w:rPr>
        <w:t xml:space="preserve">11.5.3  </w:t>
      </w:r>
      <w:r>
        <w:t>根据项目</w:t>
      </w:r>
      <w:r>
        <w:t>经验，出现了很多弱电箱、开关未能预留零线导致部分智能家居的设备无法安装的问题，因此为了后期用户能够不重新布线就可兼容更多的设备，零线应预留、敷设到位。</w:t>
      </w:r>
    </w:p>
    <w:p w14:paraId="424668DF" w14:textId="77777777" w:rsidR="00622EE7" w:rsidRDefault="00E60909">
      <w:pPr>
        <w:pStyle w:val="af7"/>
        <w:spacing w:after="0" w:afterAutospacing="0"/>
        <w:rPr>
          <w:b w:val="0"/>
          <w:bCs/>
        </w:rPr>
      </w:pPr>
      <w:r>
        <w:rPr>
          <w:bCs/>
        </w:rPr>
        <w:t xml:space="preserve">11.5.4  </w:t>
      </w:r>
      <w:r>
        <w:rPr>
          <w:b w:val="0"/>
          <w:bCs/>
        </w:rPr>
        <w:t>提前预留插座，以避免住户在入住后改造（如安装智能马桶）时，需要对管线进行重新布置。</w:t>
      </w:r>
    </w:p>
    <w:p w14:paraId="22321073" w14:textId="77777777" w:rsidR="00622EE7" w:rsidRDefault="00E60909">
      <w:pPr>
        <w:pStyle w:val="af7"/>
        <w:spacing w:after="0" w:afterAutospacing="0"/>
        <w:ind w:firstLineChars="200" w:firstLine="480"/>
        <w:rPr>
          <w:b w:val="0"/>
          <w:bCs/>
        </w:rPr>
      </w:pPr>
      <w:r>
        <w:rPr>
          <w:b w:val="0"/>
          <w:bCs/>
        </w:rPr>
        <w:t>此处注意的是冰箱一般是单独一路，控制冰箱的空气开关需要常开，不宜断电；弱电箱也要单独一路，当家中安装了监控时宜和冰箱一路，不宜断电。</w:t>
      </w:r>
    </w:p>
    <w:p w14:paraId="75ADD2A8" w14:textId="77777777" w:rsidR="00622EE7" w:rsidRDefault="00E60909">
      <w:pPr>
        <w:pStyle w:val="af7"/>
        <w:spacing w:after="0" w:afterAutospacing="0"/>
        <w:rPr>
          <w:b w:val="0"/>
          <w:bCs/>
        </w:rPr>
      </w:pPr>
      <w:r>
        <w:rPr>
          <w:bCs/>
        </w:rPr>
        <w:t>11.5.</w:t>
      </w:r>
      <w:r>
        <w:rPr>
          <w:rFonts w:hint="eastAsia"/>
          <w:bCs/>
        </w:rPr>
        <w:t>5</w:t>
      </w:r>
      <w:r>
        <w:rPr>
          <w:bCs/>
        </w:rPr>
        <w:t xml:space="preserve">  </w:t>
      </w:r>
      <w:r>
        <w:rPr>
          <w:b w:val="0"/>
          <w:bCs/>
        </w:rPr>
        <w:t>住宅设置网络插座是为了方便接入互联网和提供稳定的网络连接，提升居住体验，通过在住宅的每个房间设置网络插座，可以确保每个房间都能享受到稳定的网络连接，无论是工作、学习还是娱乐，都能得到良好的网络体验。</w:t>
      </w:r>
    </w:p>
    <w:p w14:paraId="287770CB" w14:textId="77777777" w:rsidR="00622EE7" w:rsidRDefault="00E60909">
      <w:pPr>
        <w:pStyle w:val="af7"/>
        <w:spacing w:after="0" w:afterAutospacing="0"/>
        <w:rPr>
          <w:b w:val="0"/>
          <w:bCs/>
        </w:rPr>
      </w:pPr>
      <w:r>
        <w:rPr>
          <w:bCs/>
        </w:rPr>
        <w:t>11.5.</w:t>
      </w:r>
      <w:r>
        <w:rPr>
          <w:rFonts w:hint="eastAsia"/>
          <w:bCs/>
        </w:rPr>
        <w:t>6</w:t>
      </w:r>
      <w:r>
        <w:rPr>
          <w:bCs/>
        </w:rPr>
        <w:t xml:space="preserve">  </w:t>
      </w:r>
      <w:r>
        <w:rPr>
          <w:b w:val="0"/>
          <w:bCs/>
        </w:rPr>
        <w:t>即使是非全装修交付的住宅也应预留相关条件。</w:t>
      </w:r>
    </w:p>
    <w:p w14:paraId="092ED5AB" w14:textId="77777777" w:rsidR="00622EE7" w:rsidRDefault="00E60909">
      <w:pPr>
        <w:pStyle w:val="af7"/>
        <w:spacing w:after="0" w:afterAutospacing="0"/>
        <w:rPr>
          <w:b w:val="0"/>
          <w:bCs/>
        </w:rPr>
      </w:pPr>
      <w:r>
        <w:rPr>
          <w:bCs/>
        </w:rPr>
        <w:t xml:space="preserve">11.5.7  </w:t>
      </w:r>
      <w:r>
        <w:rPr>
          <w:b w:val="0"/>
          <w:bCs/>
        </w:rPr>
        <w:t>第</w:t>
      </w:r>
      <w:r>
        <w:rPr>
          <w:rFonts w:hint="eastAsia"/>
          <w:b w:val="0"/>
          <w:bCs/>
        </w:rPr>
        <w:t>2</w:t>
      </w:r>
      <w:r>
        <w:rPr>
          <w:b w:val="0"/>
          <w:bCs/>
        </w:rPr>
        <w:t>款</w:t>
      </w:r>
      <w:r>
        <w:rPr>
          <w:rFonts w:hint="eastAsia"/>
          <w:b w:val="0"/>
          <w:bCs/>
        </w:rPr>
        <w:t>，</w:t>
      </w:r>
      <w:r>
        <w:rPr>
          <w:b w:val="0"/>
          <w:bCs/>
        </w:rPr>
        <w:t>厨房位置容易出现插座数量不够的问题，全装修交付时，插座点位应避开橱柜的隔板、分</w:t>
      </w:r>
      <w:r>
        <w:rPr>
          <w:b w:val="0"/>
          <w:bCs/>
        </w:rPr>
        <w:t>水器等厨房设备设施，除冰箱外，也应便于台面上使用的咖啡机、面包机等家用电器的用电；</w:t>
      </w:r>
      <w:r>
        <w:rPr>
          <w:rFonts w:hint="eastAsia"/>
          <w:b w:val="0"/>
          <w:bCs/>
        </w:rPr>
        <w:t>第</w:t>
      </w:r>
      <w:r>
        <w:rPr>
          <w:rFonts w:hint="eastAsia"/>
          <w:b w:val="0"/>
          <w:bCs/>
        </w:rPr>
        <w:t>3</w:t>
      </w:r>
      <w:r>
        <w:rPr>
          <w:rFonts w:hint="eastAsia"/>
          <w:b w:val="0"/>
          <w:bCs/>
        </w:rPr>
        <w:t>款，</w:t>
      </w:r>
      <w:r>
        <w:rPr>
          <w:b w:val="0"/>
          <w:bCs/>
        </w:rPr>
        <w:t>除</w:t>
      </w:r>
      <w:r>
        <w:rPr>
          <w:b w:val="0"/>
          <w:bCs/>
        </w:rPr>
        <w:t>USB</w:t>
      </w:r>
      <w:r>
        <w:rPr>
          <w:b w:val="0"/>
          <w:bCs/>
        </w:rPr>
        <w:t>接口外也可采用集成</w:t>
      </w:r>
      <w:r>
        <w:rPr>
          <w:b w:val="0"/>
          <w:bCs/>
        </w:rPr>
        <w:lastRenderedPageBreak/>
        <w:t>Type A</w:t>
      </w:r>
      <w:r>
        <w:rPr>
          <w:b w:val="0"/>
          <w:bCs/>
        </w:rPr>
        <w:t>、</w:t>
      </w:r>
      <w:r>
        <w:rPr>
          <w:b w:val="0"/>
          <w:bCs/>
        </w:rPr>
        <w:t>Type C</w:t>
      </w:r>
      <w:r>
        <w:rPr>
          <w:b w:val="0"/>
          <w:bCs/>
        </w:rPr>
        <w:t>等接口的产品；非全装修交付时，插座点位应与设计方案对应。住宅为非全装修交付时，应设置相应的条件</w:t>
      </w:r>
      <w:r>
        <w:rPr>
          <w:rFonts w:hint="eastAsia"/>
          <w:b w:val="0"/>
          <w:bCs/>
        </w:rPr>
        <w:t>；</w:t>
      </w:r>
      <w:r>
        <w:rPr>
          <w:b w:val="0"/>
          <w:bCs/>
        </w:rPr>
        <w:t>第</w:t>
      </w:r>
      <w:r>
        <w:rPr>
          <w:b w:val="0"/>
          <w:bCs/>
        </w:rPr>
        <w:t>4</w:t>
      </w:r>
      <w:r>
        <w:rPr>
          <w:b w:val="0"/>
          <w:bCs/>
        </w:rPr>
        <w:t>款，大部分的电器和灯都可以通过智能家居进行远程控制</w:t>
      </w:r>
      <w:r>
        <w:rPr>
          <w:b w:val="0"/>
          <w:bCs/>
        </w:rPr>
        <w:t>,</w:t>
      </w:r>
      <w:r>
        <w:rPr>
          <w:b w:val="0"/>
          <w:bCs/>
        </w:rPr>
        <w:t>离家模式会自动断电、自动关灯、关电器；远程遥控设置能够节约很多时间，对住户的舒适度及便捷度有显著提升。</w:t>
      </w:r>
    </w:p>
    <w:p w14:paraId="64C7C441" w14:textId="77777777" w:rsidR="00622EE7" w:rsidRDefault="00E60909">
      <w:pPr>
        <w:pStyle w:val="1"/>
      </w:pPr>
      <w:bookmarkStart w:id="186" w:name="_Toc181092606"/>
      <w:bookmarkStart w:id="187" w:name="_Toc182841427"/>
      <w:r>
        <w:lastRenderedPageBreak/>
        <w:t xml:space="preserve">12 </w:t>
      </w:r>
      <w:r>
        <w:rPr>
          <w:rFonts w:hint="eastAsia"/>
        </w:rPr>
        <w:t xml:space="preserve"> </w:t>
      </w:r>
      <w:r>
        <w:rPr>
          <w:rFonts w:hint="eastAsia"/>
        </w:rPr>
        <w:t>运维和服务</w:t>
      </w:r>
      <w:bookmarkEnd w:id="186"/>
      <w:bookmarkEnd w:id="187"/>
    </w:p>
    <w:p w14:paraId="5EC0E839" w14:textId="77777777" w:rsidR="00622EE7" w:rsidRDefault="00E60909">
      <w:pPr>
        <w:spacing w:beforeLines="50" w:before="156" w:afterLines="50" w:after="156" w:line="360" w:lineRule="auto"/>
        <w:jc w:val="center"/>
        <w:outlineLvl w:val="1"/>
        <w:rPr>
          <w:rFonts w:ascii="Times New Roman" w:eastAsia="黑体" w:hAnsi="Times New Roman"/>
        </w:rPr>
      </w:pPr>
      <w:bookmarkStart w:id="188" w:name="_Toc182841428"/>
      <w:bookmarkStart w:id="189" w:name="_Toc181092607"/>
      <w:r>
        <w:rPr>
          <w:rFonts w:ascii="Times New Roman" w:eastAsia="黑体" w:hAnsi="Times New Roman"/>
        </w:rPr>
        <w:t xml:space="preserve">12.1 </w:t>
      </w:r>
      <w:r>
        <w:rPr>
          <w:rFonts w:ascii="Times New Roman" w:eastAsia="黑体" w:hAnsi="Times New Roman" w:hint="eastAsia"/>
        </w:rPr>
        <w:t>日常维护与服务</w:t>
      </w:r>
      <w:bookmarkEnd w:id="188"/>
      <w:bookmarkEnd w:id="189"/>
    </w:p>
    <w:p w14:paraId="21341DED" w14:textId="77777777" w:rsidR="00622EE7" w:rsidRDefault="00E60909">
      <w:pPr>
        <w:pStyle w:val="af8"/>
        <w:numPr>
          <w:ilvl w:val="255"/>
          <w:numId w:val="0"/>
        </w:numPr>
      </w:pPr>
      <w:r>
        <w:rPr>
          <w:b/>
        </w:rPr>
        <w:t xml:space="preserve">12.1.1  </w:t>
      </w:r>
      <w:r>
        <w:t>“</w:t>
      </w:r>
      <w:r>
        <w:t>好房子</w:t>
      </w:r>
      <w:r>
        <w:t>”</w:t>
      </w:r>
      <w:r>
        <w:t>应配套</w:t>
      </w:r>
      <w:r>
        <w:t>“</w:t>
      </w:r>
      <w:r>
        <w:t>好服务</w:t>
      </w:r>
      <w:r>
        <w:t>”</w:t>
      </w:r>
      <w:r>
        <w:t>。物业服务水平的提升对于改善居民生活质量、提升住宅居住满意度起着至关重要的作用。专业、全面的物业服务是高品质住宅不可或缺的一项重要内容。《鄂尔多斯市住房和城乡建设事业发展</w:t>
      </w:r>
      <w:r>
        <w:t>“</w:t>
      </w:r>
      <w:r>
        <w:t>十四五</w:t>
      </w:r>
      <w:r>
        <w:t>”</w:t>
      </w:r>
      <w:r>
        <w:t>规划》明确提出：把物业升级为社区管理的帮手、社区生活的管家，做好物业服务管理、监督，推广管家式物业服务，努力让物业更温馨、更暖心、更贴心。</w:t>
      </w:r>
    </w:p>
    <w:p w14:paraId="0A93C4F8" w14:textId="77777777" w:rsidR="00622EE7" w:rsidRDefault="00E60909">
      <w:pPr>
        <w:pStyle w:val="af3"/>
        <w:ind w:firstLineChars="0" w:firstLine="0"/>
        <w:contextualSpacing/>
      </w:pPr>
      <w:r>
        <w:rPr>
          <w:rFonts w:hint="eastAsia"/>
        </w:rPr>
        <w:t>物业服务要有固定的服务场所。客户服务中心配备办公桌椅、电脑、打印复印机、档案柜和客户接待座椅。</w:t>
      </w:r>
      <w:r>
        <w:rPr>
          <w:b/>
        </w:rPr>
        <w:t xml:space="preserve">12.1.4  </w:t>
      </w:r>
      <w:r>
        <w:t>可建立客户服务中心或客户管家制度，统一受理并处理客户意见</w:t>
      </w:r>
      <w:r>
        <w:t>要求，为客户提供一站式的一对一管家服务；能够为客户提供物业管理的延伸服务，服务内容及收费合理明晰；设立客</w:t>
      </w:r>
      <w:proofErr w:type="gramStart"/>
      <w:r>
        <w:t>服中心</w:t>
      </w:r>
      <w:proofErr w:type="gramEnd"/>
      <w:r>
        <w:t>24h</w:t>
      </w:r>
      <w:r>
        <w:t>值班电话，随时接受</w:t>
      </w:r>
      <w:r>
        <w:rPr>
          <w:rFonts w:hint="eastAsia"/>
        </w:rPr>
        <w:t>住户</w:t>
      </w:r>
      <w:r>
        <w:t>对物业服务报修、问询、投诉等各类信息的收集、处理和反馈</w:t>
      </w:r>
      <w:r>
        <w:t>;</w:t>
      </w:r>
      <w:r>
        <w:t>收费标准与服务水平相匹配，平均服务管理费与同等区域可比品质的住宅水平相当，且服务管理费持续稳定。</w:t>
      </w:r>
    </w:p>
    <w:p w14:paraId="61F822BA" w14:textId="77777777" w:rsidR="00622EE7" w:rsidRDefault="00E60909">
      <w:pPr>
        <w:pStyle w:val="af3"/>
        <w:ind w:firstLine="480"/>
        <w:contextualSpacing/>
      </w:pPr>
      <w:r>
        <w:rPr>
          <w:rFonts w:hint="eastAsia"/>
        </w:rPr>
        <w:t>住户</w:t>
      </w:r>
      <w:r>
        <w:t>提出的意见、建议、投诉应及时响应，宜在</w:t>
      </w:r>
      <w:r>
        <w:t>24</w:t>
      </w:r>
      <w:r>
        <w:t>小时内回复处理结果，投诉回访率</w:t>
      </w:r>
      <w:r>
        <w:t>100%</w:t>
      </w:r>
      <w:r>
        <w:t>，保留回访记录并入档。</w:t>
      </w:r>
    </w:p>
    <w:p w14:paraId="07592219" w14:textId="77777777" w:rsidR="00622EE7" w:rsidRDefault="00E60909">
      <w:pPr>
        <w:pStyle w:val="af8"/>
        <w:numPr>
          <w:ilvl w:val="255"/>
          <w:numId w:val="0"/>
        </w:numPr>
      </w:pPr>
      <w:r>
        <w:rPr>
          <w:b/>
        </w:rPr>
        <w:t xml:space="preserve">12.1.4  </w:t>
      </w:r>
      <w:r>
        <w:t>小区内的消防设施是用于火灾报警、消防、人员疏散、防火分隔、灭火救援等作业的设施的总称，主要包括</w:t>
      </w:r>
      <w:r>
        <w:rPr>
          <w:rFonts w:hint="eastAsia"/>
        </w:rPr>
        <w:t>：</w:t>
      </w:r>
      <w:r>
        <w:t>消防供配电设施、火灾自动报警系统、消火栓给水系统、自动喷水灭火系统、气体灭火系统、机械加压送风系统等。在非机动车停车点应设置电动车专用充电设施，配备必要的消防器材，充电设施应当具备充满自动断电功能。物业要有完备的消防管理制度</w:t>
      </w:r>
      <w:r>
        <w:rPr>
          <w:rFonts w:hint="eastAsia"/>
        </w:rPr>
        <w:t>，</w:t>
      </w:r>
      <w:r>
        <w:t>消防管理人员持证上岗，建立消防应急处理组织架构和岗位职责。</w:t>
      </w:r>
    </w:p>
    <w:p w14:paraId="017DDB79" w14:textId="77777777" w:rsidR="00622EE7" w:rsidRDefault="00E60909">
      <w:pPr>
        <w:pStyle w:val="af3"/>
        <w:ind w:firstLineChars="0" w:firstLine="0"/>
        <w:contextualSpacing/>
      </w:pPr>
      <w:r>
        <w:rPr>
          <w:b/>
        </w:rPr>
        <w:t xml:space="preserve">12.1.7 </w:t>
      </w:r>
      <w:r>
        <w:t xml:space="preserve"> </w:t>
      </w:r>
      <w:r>
        <w:rPr>
          <w:rFonts w:hint="eastAsia"/>
        </w:rPr>
        <w:t>消防应急方案</w:t>
      </w:r>
      <w:r>
        <w:t>保证急救车、消防车通畅出入小区，并到达每栋建筑出入口。</w:t>
      </w:r>
    </w:p>
    <w:p w14:paraId="545961E2" w14:textId="77777777" w:rsidR="00622EE7" w:rsidRDefault="00E60909">
      <w:pPr>
        <w:pStyle w:val="af3"/>
        <w:ind w:firstLineChars="0" w:firstLine="0"/>
        <w:contextualSpacing/>
      </w:pPr>
      <w:r>
        <w:rPr>
          <w:b/>
        </w:rPr>
        <w:t>12.1.9</w:t>
      </w:r>
      <w:r>
        <w:rPr>
          <w:rFonts w:hint="eastAsia"/>
        </w:rPr>
        <w:t xml:space="preserve"> </w:t>
      </w:r>
      <w:r>
        <w:t xml:space="preserve"> </w:t>
      </w:r>
      <w:r>
        <w:t>垃圾间、集水坑封闭管理。大堂、走廊、楼梯间无异味、无垃圾、无灰尘，周边地面、墙面、天花无污渍。</w:t>
      </w:r>
    </w:p>
    <w:p w14:paraId="040D0C66" w14:textId="77777777" w:rsidR="00622EE7" w:rsidRDefault="00E60909">
      <w:pPr>
        <w:pStyle w:val="af5"/>
        <w:rPr>
          <w:rFonts w:ascii="Times New Roman" w:eastAsia="宋体" w:hAnsi="Times New Roman"/>
          <w:color w:val="auto"/>
        </w:rPr>
      </w:pPr>
      <w:r>
        <w:rPr>
          <w:rFonts w:ascii="Times New Roman" w:eastAsia="宋体" w:hAnsi="Times New Roman"/>
          <w:b/>
          <w:color w:val="auto"/>
        </w:rPr>
        <w:t>12.1.11</w:t>
      </w:r>
      <w:r>
        <w:rPr>
          <w:rFonts w:ascii="Times New Roman" w:eastAsia="宋体" w:hAnsi="Times New Roman" w:hint="eastAsia"/>
          <w:color w:val="auto"/>
        </w:rPr>
        <w:t xml:space="preserve"> </w:t>
      </w:r>
      <w:r>
        <w:rPr>
          <w:rFonts w:ascii="Times New Roman" w:eastAsia="宋体" w:hAnsi="Times New Roman"/>
          <w:color w:val="auto"/>
        </w:rPr>
        <w:t xml:space="preserve"> </w:t>
      </w:r>
      <w:r>
        <w:rPr>
          <w:rFonts w:ascii="Times New Roman" w:eastAsia="宋体" w:hAnsi="Times New Roman"/>
          <w:color w:val="auto"/>
        </w:rPr>
        <w:t>通过供水水箱</w:t>
      </w:r>
      <w:r>
        <w:rPr>
          <w:rFonts w:ascii="Times New Roman" w:eastAsia="宋体" w:hAnsi="Times New Roman"/>
          <w:color w:val="auto"/>
        </w:rPr>
        <w:t>的使用维护，确保供水水质的安全。</w:t>
      </w:r>
    </w:p>
    <w:p w14:paraId="03A15636" w14:textId="77777777" w:rsidR="00622EE7" w:rsidRDefault="00E60909">
      <w:pPr>
        <w:pStyle w:val="af3"/>
        <w:ind w:firstLineChars="0" w:firstLine="0"/>
        <w:contextualSpacing/>
      </w:pPr>
      <w:r>
        <w:rPr>
          <w:b/>
        </w:rPr>
        <w:t xml:space="preserve">12.1.12 </w:t>
      </w:r>
      <w:r>
        <w:t xml:space="preserve"> </w:t>
      </w:r>
      <w:r>
        <w:t>垃圾实施分类管理，垃圾日产日清，环境定期消毒灭杀。同时保证垃圾</w:t>
      </w:r>
      <w:r>
        <w:lastRenderedPageBreak/>
        <w:t>处理设备设施运转正常，垃圾收集运输确保与</w:t>
      </w:r>
      <w:r>
        <w:rPr>
          <w:rFonts w:hint="eastAsia"/>
        </w:rPr>
        <w:t>住户</w:t>
      </w:r>
      <w:r>
        <w:t>通行时间错开，归集</w:t>
      </w:r>
      <w:proofErr w:type="gramStart"/>
      <w:r>
        <w:t>运输走</w:t>
      </w:r>
      <w:proofErr w:type="gramEnd"/>
      <w:r>
        <w:t>专用货梯及通道。</w:t>
      </w:r>
    </w:p>
    <w:p w14:paraId="4DEECCF2" w14:textId="77777777" w:rsidR="00622EE7" w:rsidRDefault="00E60909">
      <w:pPr>
        <w:pStyle w:val="af3"/>
        <w:ind w:firstLineChars="0" w:firstLine="0"/>
        <w:contextualSpacing/>
        <w:rPr>
          <w:b/>
        </w:rPr>
      </w:pPr>
      <w:r>
        <w:rPr>
          <w:rFonts w:hint="eastAsia"/>
          <w:b/>
        </w:rPr>
        <w:t>1</w:t>
      </w:r>
      <w:r>
        <w:rPr>
          <w:b/>
        </w:rPr>
        <w:t xml:space="preserve">2.1.19  </w:t>
      </w:r>
      <w:r>
        <w:rPr>
          <w:rFonts w:hint="eastAsia"/>
        </w:rPr>
        <w:t>住宅小区住户养狗需按照当地政府养犬管理办法办理养犬证，并进行年检。同时，物业部门需及时通知住户办理登记，以便小区管理方对宠物饲养情况进行掌握和管理。小区内通常禁止饲养大型犬和烈性犬，以确保小区居民的安全和舒适。</w:t>
      </w:r>
    </w:p>
    <w:p w14:paraId="5F750F16" w14:textId="77777777" w:rsidR="00622EE7" w:rsidRDefault="00E60909">
      <w:pPr>
        <w:spacing w:beforeLines="50" w:before="156" w:afterLines="50" w:after="156" w:line="360" w:lineRule="auto"/>
        <w:jc w:val="center"/>
        <w:outlineLvl w:val="1"/>
        <w:rPr>
          <w:rFonts w:ascii="Times New Roman" w:eastAsia="黑体" w:hAnsi="Times New Roman"/>
        </w:rPr>
      </w:pPr>
      <w:bookmarkStart w:id="190" w:name="_Toc182841429"/>
      <w:bookmarkStart w:id="191" w:name="_Toc181092608"/>
      <w:r>
        <w:rPr>
          <w:rFonts w:ascii="Times New Roman" w:eastAsia="黑体" w:hAnsi="Times New Roman"/>
        </w:rPr>
        <w:t xml:space="preserve">12.2 </w:t>
      </w:r>
      <w:r>
        <w:rPr>
          <w:rFonts w:ascii="Times New Roman" w:eastAsia="黑体" w:hAnsi="Times New Roman" w:hint="eastAsia"/>
        </w:rPr>
        <w:t>文化与关怀</w:t>
      </w:r>
      <w:bookmarkEnd w:id="190"/>
      <w:bookmarkEnd w:id="191"/>
    </w:p>
    <w:p w14:paraId="28D0A50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12.2.1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规划》明确提出：鼓励有条件的物业服务企业向养老、托幼、家政、文化、健康、房屋经纪、快递收发等领域延伸，探索</w:t>
      </w:r>
      <w:r>
        <w:rPr>
          <w:rFonts w:ascii="Times New Roman" w:eastAsia="宋体" w:hAnsi="Times New Roman"/>
          <w:color w:val="auto"/>
        </w:rPr>
        <w:t>“</w:t>
      </w:r>
      <w:r>
        <w:rPr>
          <w:rFonts w:ascii="Times New Roman" w:eastAsia="宋体" w:hAnsi="Times New Roman"/>
          <w:color w:val="auto"/>
        </w:rPr>
        <w:t>物业服务</w:t>
      </w:r>
      <w:r>
        <w:rPr>
          <w:rFonts w:ascii="Times New Roman" w:eastAsia="宋体" w:hAnsi="Times New Roman"/>
          <w:color w:val="auto"/>
        </w:rPr>
        <w:t>+</w:t>
      </w:r>
      <w:r>
        <w:rPr>
          <w:rFonts w:ascii="Times New Roman" w:eastAsia="宋体" w:hAnsi="Times New Roman"/>
          <w:color w:val="auto"/>
        </w:rPr>
        <w:t>生活服务</w:t>
      </w:r>
      <w:r>
        <w:rPr>
          <w:rFonts w:ascii="Times New Roman" w:eastAsia="宋体" w:hAnsi="Times New Roman"/>
          <w:color w:val="auto"/>
        </w:rPr>
        <w:t>”</w:t>
      </w:r>
      <w:r>
        <w:rPr>
          <w:rFonts w:ascii="Times New Roman" w:eastAsia="宋体" w:hAnsi="Times New Roman"/>
          <w:color w:val="auto"/>
        </w:rPr>
        <w:t>模式，满足居民多样化多层次居住生活需求。</w:t>
      </w:r>
    </w:p>
    <w:p w14:paraId="67587FF8" w14:textId="77777777" w:rsidR="00622EE7" w:rsidRDefault="00E60909">
      <w:pPr>
        <w:pStyle w:val="af3"/>
        <w:ind w:firstLineChars="0" w:firstLine="0"/>
        <w:contextualSpacing/>
      </w:pPr>
      <w:r>
        <w:rPr>
          <w:b/>
        </w:rPr>
        <w:t xml:space="preserve">12.2.5  </w:t>
      </w:r>
      <w:r>
        <w:t>组织社区活动和社交聚会，促进居民之间的交流和互动。文化活动应考虑全龄友好的需求，兼顾老人、儿童等的需求和喜好，广泛发动居住者参与。</w:t>
      </w:r>
    </w:p>
    <w:p w14:paraId="4932394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12.2.6  </w:t>
      </w:r>
      <w:r>
        <w:rPr>
          <w:rFonts w:ascii="Times New Roman" w:eastAsia="宋体" w:hAnsi="Times New Roman"/>
          <w:color w:val="auto"/>
        </w:rPr>
        <w:t>通过调查访谈，建立有效的沟通渠道，积极倾听居民的意见和反馈，不断改进和优化服务，与居民保持密切联系，确保及时解决问题和提供支持。</w:t>
      </w:r>
    </w:p>
    <w:p w14:paraId="26CCB0D0" w14:textId="77777777" w:rsidR="00622EE7" w:rsidRDefault="00E60909">
      <w:pPr>
        <w:spacing w:beforeLines="50" w:before="156" w:afterLines="50" w:after="156" w:line="360" w:lineRule="auto"/>
        <w:jc w:val="center"/>
        <w:outlineLvl w:val="1"/>
        <w:rPr>
          <w:rFonts w:ascii="Times New Roman" w:eastAsia="黑体" w:hAnsi="Times New Roman"/>
        </w:rPr>
      </w:pPr>
      <w:bookmarkStart w:id="192" w:name="_Toc181092609"/>
      <w:bookmarkStart w:id="193" w:name="_Toc182841430"/>
      <w:r>
        <w:rPr>
          <w:rFonts w:ascii="Times New Roman" w:eastAsia="黑体" w:hAnsi="Times New Roman"/>
        </w:rPr>
        <w:t xml:space="preserve">12.3 </w:t>
      </w:r>
      <w:r>
        <w:rPr>
          <w:rFonts w:ascii="Times New Roman" w:eastAsia="黑体" w:hAnsi="Times New Roman" w:hint="eastAsia"/>
        </w:rPr>
        <w:t>检查与维修</w:t>
      </w:r>
      <w:bookmarkEnd w:id="192"/>
      <w:bookmarkEnd w:id="193"/>
    </w:p>
    <w:p w14:paraId="15A7E8BE" w14:textId="0E1138B2" w:rsidR="00622EE7" w:rsidRDefault="00E60909">
      <w:pPr>
        <w:pStyle w:val="af3"/>
        <w:ind w:firstLineChars="0" w:firstLine="0"/>
        <w:contextualSpacing/>
      </w:pPr>
      <w:r>
        <w:rPr>
          <w:b/>
        </w:rPr>
        <w:t xml:space="preserve">12.3.5  </w:t>
      </w:r>
      <w:r>
        <w:t>预防性维修</w:t>
      </w:r>
      <w:r>
        <w:t>如包括但不限于</w:t>
      </w:r>
      <w:r>
        <w:rPr>
          <w:rFonts w:hint="eastAsia"/>
        </w:rPr>
        <w:t>：</w:t>
      </w:r>
      <w:r>
        <w:t>下水道无论有没有堵塞，每年使用高压清洗装置</w:t>
      </w:r>
      <w:r>
        <w:rPr>
          <w:rFonts w:hint="eastAsia"/>
        </w:rPr>
        <w:t>或化学疏通剂</w:t>
      </w:r>
      <w:r>
        <w:t>全部疏通一次</w:t>
      </w:r>
      <w:r>
        <w:rPr>
          <w:rFonts w:hint="eastAsia"/>
        </w:rPr>
        <w:t>；</w:t>
      </w:r>
      <w:r>
        <w:t>电梯三个月检</w:t>
      </w:r>
      <w:r w:rsidR="00164EC6">
        <w:t>查</w:t>
      </w:r>
      <w:r>
        <w:t>一次，</w:t>
      </w:r>
      <w:r>
        <w:t>15</w:t>
      </w:r>
      <w:r>
        <w:t>年更换一次</w:t>
      </w:r>
      <w:r>
        <w:rPr>
          <w:rFonts w:hint="eastAsia"/>
        </w:rPr>
        <w:t>；</w:t>
      </w:r>
      <w:r>
        <w:t>屋顶防水无论是否渗漏，需</w:t>
      </w:r>
      <w:r>
        <w:t>5</w:t>
      </w:r>
      <w:r>
        <w:t>年一次补修、十年一次大修</w:t>
      </w:r>
      <w:r>
        <w:rPr>
          <w:rFonts w:hint="eastAsia"/>
        </w:rPr>
        <w:t>；</w:t>
      </w:r>
      <w:r>
        <w:t>外墙</w:t>
      </w:r>
      <w:r>
        <w:t>10</w:t>
      </w:r>
      <w:r>
        <w:t>年翻新一次</w:t>
      </w:r>
      <w:r>
        <w:rPr>
          <w:rFonts w:hint="eastAsia"/>
        </w:rPr>
        <w:t>；</w:t>
      </w:r>
      <w:r>
        <w:t>户内消防探测系统一年检修一次</w:t>
      </w:r>
      <w:r>
        <w:rPr>
          <w:rFonts w:hint="eastAsia"/>
        </w:rPr>
        <w:t>，以上均应有档案记录</w:t>
      </w:r>
      <w:r>
        <w:t>。</w:t>
      </w:r>
    </w:p>
    <w:p w14:paraId="659877F2" w14:textId="510463E9" w:rsidR="00622EE7" w:rsidRDefault="00E60909">
      <w:pPr>
        <w:pStyle w:val="af3"/>
        <w:ind w:firstLineChars="0" w:firstLine="0"/>
        <w:contextualSpacing/>
      </w:pPr>
      <w:r>
        <w:rPr>
          <w:b/>
        </w:rPr>
        <w:t xml:space="preserve">12.3.6  </w:t>
      </w:r>
      <w:r>
        <w:t>工程竣工验收后一年时，应进行一次全面的检查，此后每五年应检</w:t>
      </w:r>
      <w:r w:rsidR="00164EC6">
        <w:t>查</w:t>
      </w:r>
      <w:r>
        <w:t>一次；建筑幕墙使用十年后应对工程不同部位的结构硅酮密封胶进行粘接性能的抽样检</w:t>
      </w:r>
      <w:r w:rsidR="00164EC6">
        <w:t>查</w:t>
      </w:r>
      <w:r>
        <w:t>，此后最少每三年检</w:t>
      </w:r>
      <w:r w:rsidR="00164EC6">
        <w:t>查</w:t>
      </w:r>
      <w:r>
        <w:t>一次；建筑幕墙使用</w:t>
      </w:r>
      <w:r>
        <w:t>(</w:t>
      </w:r>
      <w:r>
        <w:t>管理</w:t>
      </w:r>
      <w:r>
        <w:t>)</w:t>
      </w:r>
      <w:r>
        <w:t>单位在日常和定期检查维护中，发现建筑幕墙损毁严重，存在安全隐患的，应当立即采取措施，避免发生安全事故。</w:t>
      </w:r>
    </w:p>
    <w:p w14:paraId="253E5E3A" w14:textId="77777777" w:rsidR="00622EE7" w:rsidRDefault="00E60909">
      <w:pPr>
        <w:spacing w:beforeLines="50" w:before="156" w:afterLines="50" w:after="156" w:line="360" w:lineRule="auto"/>
        <w:jc w:val="center"/>
        <w:outlineLvl w:val="1"/>
        <w:rPr>
          <w:rFonts w:ascii="Times New Roman" w:eastAsia="黑体" w:hAnsi="Times New Roman"/>
        </w:rPr>
      </w:pPr>
      <w:bookmarkStart w:id="194" w:name="_Toc181092610"/>
      <w:bookmarkStart w:id="195" w:name="_Toc182841431"/>
      <w:r>
        <w:rPr>
          <w:rFonts w:ascii="Times New Roman" w:eastAsia="黑体" w:hAnsi="Times New Roman"/>
        </w:rPr>
        <w:t xml:space="preserve">12.4 </w:t>
      </w:r>
      <w:r>
        <w:rPr>
          <w:rFonts w:ascii="Times New Roman" w:eastAsia="黑体" w:hAnsi="Times New Roman" w:hint="eastAsia"/>
        </w:rPr>
        <w:t>智慧运维</w:t>
      </w:r>
      <w:bookmarkEnd w:id="194"/>
      <w:bookmarkEnd w:id="195"/>
    </w:p>
    <w:p w14:paraId="64B18C58" w14:textId="77777777" w:rsidR="00622EE7" w:rsidRDefault="00E60909">
      <w:pPr>
        <w:pStyle w:val="af3"/>
        <w:ind w:firstLineChars="0" w:firstLine="0"/>
        <w:contextualSpacing/>
      </w:pPr>
      <w:r>
        <w:rPr>
          <w:b/>
        </w:rPr>
        <w:t xml:space="preserve">12.4.1  </w:t>
      </w:r>
      <w:r>
        <w:t>物业服务应及时处理业主物业服务诉求，大力发展线上线下社区服务业，</w:t>
      </w:r>
      <w:r>
        <w:lastRenderedPageBreak/>
        <w:t>线上服务可为</w:t>
      </w:r>
      <w:r>
        <w:t>APP</w:t>
      </w:r>
      <w:r>
        <w:t>、</w:t>
      </w:r>
      <w:proofErr w:type="gramStart"/>
      <w:r>
        <w:t>微信小</w:t>
      </w:r>
      <w:proofErr w:type="gramEnd"/>
      <w:r>
        <w:t>程序</w:t>
      </w:r>
      <w:r>
        <w:rPr>
          <w:rFonts w:hint="eastAsia"/>
        </w:rPr>
        <w:t>、公众号、网站等</w:t>
      </w:r>
      <w:r>
        <w:t>，也可通过建立管家群、楼栋群等方式实现。</w:t>
      </w:r>
    </w:p>
    <w:sectPr w:rsidR="00622EE7">
      <w:headerReference w:type="default" r:id="rId37"/>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5" w:author="cbs" w:date="2025-10-22T09:24:00Z" w:initials="">
    <w:p w14:paraId="4FA27682" w14:textId="77777777" w:rsidR="00622EE7" w:rsidRDefault="00E60909">
      <w:pPr>
        <w:pStyle w:val="a5"/>
      </w:pPr>
      <w:r>
        <w:rPr>
          <w:rFonts w:hint="eastAsia"/>
        </w:rPr>
        <w:t>原</w:t>
      </w:r>
      <w:r>
        <w:rPr>
          <w:rFonts w:hint="eastAsia"/>
        </w:rPr>
        <w:t>1</w:t>
      </w:r>
      <w:r>
        <w:t>2.1.9</w:t>
      </w:r>
      <w:r>
        <w:rPr>
          <w:rFonts w:hint="eastAsia"/>
        </w:rPr>
        <w:t>，维修相关内容在这合适一些？</w:t>
      </w:r>
    </w:p>
  </w:comment>
  <w:comment w:id="78" w:author="cbs" w:date="2025-10-22T10:12:00Z" w:initials="">
    <w:p w14:paraId="44BD58DF" w14:textId="77777777" w:rsidR="00622EE7" w:rsidRDefault="00E60909">
      <w:pPr>
        <w:pStyle w:val="a5"/>
      </w:pPr>
      <w:r>
        <w:rPr>
          <w:rFonts w:hint="eastAsia"/>
        </w:rPr>
        <w:t>未提此种维护，可加</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A27682" w15:done="1"/>
  <w15:commentEx w15:paraId="44BD58D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A27682" w16cid:durableId="2DB56C47"/>
  <w16cid:commentId w16cid:paraId="44BD58DF" w16cid:durableId="2DB56C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753A" w14:textId="77777777" w:rsidR="00E60909" w:rsidRDefault="00E60909">
      <w:r>
        <w:separator/>
      </w:r>
    </w:p>
  </w:endnote>
  <w:endnote w:type="continuationSeparator" w:id="0">
    <w:p w14:paraId="72BA6537" w14:textId="77777777" w:rsidR="00E60909" w:rsidRDefault="00E60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楷体">
    <w:altName w:val="方正楷体_GBK"/>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华文楷体">
    <w:altName w:val="方正楷体_GBK"/>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1C51" w14:textId="77777777" w:rsidR="00622EE7" w:rsidRDefault="00E60909">
    <w:pPr>
      <w:pStyle w:val="a9"/>
      <w:jc w:val="center"/>
    </w:pPr>
    <w:r>
      <w:rPr>
        <w:noProof/>
      </w:rPr>
      <mc:AlternateContent>
        <mc:Choice Requires="wps">
          <w:drawing>
            <wp:anchor distT="0" distB="0" distL="114300" distR="114300" simplePos="0" relativeHeight="251659264" behindDoc="0" locked="0" layoutInCell="1" allowOverlap="1" wp14:anchorId="5E03F266" wp14:editId="587728B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rPr>
                            <w:id w:val="1440182458"/>
                          </w:sdtPr>
                          <w:sdtEndPr/>
                          <w:sdtContent>
                            <w:p w14:paraId="7E054CB3"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IV</w:t>
                              </w:r>
                              <w:r>
                                <w:rPr>
                                  <w:rFonts w:ascii="Times New Roman" w:hAnsi="Times New Roman"/>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03F266"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sdt>
                    <w:sdtPr>
                      <w:rPr>
                        <w:rFonts w:ascii="Times New Roman" w:hAnsi="Times New Roman"/>
                      </w:rPr>
                      <w:id w:val="1440182458"/>
                    </w:sdtPr>
                    <w:sdtEndPr/>
                    <w:sdtContent>
                      <w:p w14:paraId="7E054CB3"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IV</w:t>
                        </w:r>
                        <w:r>
                          <w:rPr>
                            <w:rFonts w:ascii="Times New Roman" w:hAnsi="Times New Roman"/>
                          </w:rPr>
                          <w:fldChar w:fldCharType="end"/>
                        </w:r>
                      </w:p>
                    </w:sdtContent>
                  </w:sdt>
                </w:txbxContent>
              </v:textbox>
              <w10:wrap anchorx="margin"/>
            </v:shape>
          </w:pict>
        </mc:Fallback>
      </mc:AlternateContent>
    </w:r>
  </w:p>
  <w:p w14:paraId="74FE13C2" w14:textId="77777777" w:rsidR="00622EE7" w:rsidRDefault="00622EE7">
    <w:pPr>
      <w:pStyle w:val="a9"/>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70B8" w14:textId="77777777" w:rsidR="00622EE7" w:rsidRDefault="00622EE7">
    <w:pPr>
      <w:pStyle w:val="a9"/>
      <w:jc w:val="center"/>
    </w:pPr>
  </w:p>
  <w:p w14:paraId="2FE21F9B" w14:textId="77777777" w:rsidR="00622EE7" w:rsidRDefault="00622EE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702" w14:textId="77777777" w:rsidR="00622EE7" w:rsidRDefault="00E60909">
    <w:pPr>
      <w:pStyle w:val="a9"/>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6E60EEE1" wp14:editId="17B9331D">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rPr>
                            <w:id w:val="-1"/>
                          </w:sdtPr>
                          <w:sdtEndPr/>
                          <w:sdtContent>
                            <w:p w14:paraId="6DFC4098"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47</w:t>
                              </w:r>
                              <w:r>
                                <w:rPr>
                                  <w:rFonts w:ascii="Times New Roman" w:hAnsi="Times New Roman"/>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E60EEE1"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sdt>
                    <w:sdtPr>
                      <w:rPr>
                        <w:rFonts w:ascii="Times New Roman" w:hAnsi="Times New Roman"/>
                      </w:rPr>
                      <w:id w:val="-1"/>
                    </w:sdtPr>
                    <w:sdtEndPr/>
                    <w:sdtContent>
                      <w:p w14:paraId="6DFC4098"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47</w:t>
                        </w:r>
                        <w:r>
                          <w:rPr>
                            <w:rFonts w:ascii="Times New Roman" w:hAnsi="Times New Roman"/>
                          </w:rPr>
                          <w:fldChar w:fldCharType="end"/>
                        </w:r>
                      </w:p>
                    </w:sdtContent>
                  </w:sdt>
                </w:txbxContent>
              </v:textbox>
              <w10:wrap anchorx="margin"/>
            </v:shape>
          </w:pict>
        </mc:Fallback>
      </mc:AlternateContent>
    </w:r>
  </w:p>
  <w:p w14:paraId="44DDBAED" w14:textId="77777777" w:rsidR="00622EE7" w:rsidRDefault="00622EE7">
    <w:pPr>
      <w:pStyle w:val="a9"/>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7ECDF" w14:textId="77777777" w:rsidR="00E60909" w:rsidRDefault="00E60909">
      <w:r>
        <w:separator/>
      </w:r>
    </w:p>
  </w:footnote>
  <w:footnote w:type="continuationSeparator" w:id="0">
    <w:p w14:paraId="7829F827" w14:textId="77777777" w:rsidR="00E60909" w:rsidRDefault="00E60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183D" w14:textId="77777777" w:rsidR="00622EE7" w:rsidRDefault="00622E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4929DC"/>
    <w:multiLevelType w:val="multilevel"/>
    <w:tmpl w:val="864929DC"/>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B7D725F0"/>
    <w:multiLevelType w:val="multilevel"/>
    <w:tmpl w:val="B7D725F0"/>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D0F614FE"/>
    <w:multiLevelType w:val="multilevel"/>
    <w:tmpl w:val="D0F614FE"/>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hint="default"/>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15:restartNumberingAfterBreak="0">
    <w:nsid w:val="DA1B8CAD"/>
    <w:multiLevelType w:val="multilevel"/>
    <w:tmpl w:val="DA1B8CAD"/>
    <w:lvl w:ilvl="0">
      <w:start w:val="1"/>
      <w:numFmt w:val="decimal"/>
      <w:lvlText w:val="10.4.%1"/>
      <w:lvlJc w:val="left"/>
      <w:pPr>
        <w:ind w:left="425" w:hanging="425"/>
      </w:pPr>
      <w:rPr>
        <w:rFonts w:ascii="Times New Roman" w:eastAsia="宋体" w:hAnsi="Times New Roman" w:cs="Times New Roman" w:hint="default"/>
        <w:b/>
        <w:color w:val="auto"/>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E4D3D67D"/>
    <w:multiLevelType w:val="multilevel"/>
    <w:tmpl w:val="E4D3D67D"/>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15:restartNumberingAfterBreak="0">
    <w:nsid w:val="F28A32F3"/>
    <w:multiLevelType w:val="multilevel"/>
    <w:tmpl w:val="F28A32F3"/>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00706E6C"/>
    <w:multiLevelType w:val="multilevel"/>
    <w:tmpl w:val="00706E6C"/>
    <w:lvl w:ilvl="0">
      <w:start w:val="1"/>
      <w:numFmt w:val="decimal"/>
      <w:lvlText w:val="5.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3B31B54"/>
    <w:multiLevelType w:val="multilevel"/>
    <w:tmpl w:val="03B31B54"/>
    <w:lvl w:ilvl="0">
      <w:start w:val="1"/>
      <w:numFmt w:val="decimal"/>
      <w:lvlText w:val="%1"/>
      <w:lvlJc w:val="left"/>
      <w:pPr>
        <w:ind w:left="900" w:hanging="420"/>
      </w:pPr>
      <w:rPr>
        <w:rFonts w:ascii="Times New Roman" w:hAnsi="Times New Roman" w:cs="Times New Roman" w:hint="default"/>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0720DE41"/>
    <w:multiLevelType w:val="multilevel"/>
    <w:tmpl w:val="0720DE41"/>
    <w:lvl w:ilvl="0">
      <w:start w:val="1"/>
      <w:numFmt w:val="decimal"/>
      <w:lvlText w:val="10.2.%1"/>
      <w:lvlJc w:val="left"/>
      <w:pPr>
        <w:ind w:left="425" w:hanging="425"/>
      </w:pPr>
      <w:rPr>
        <w:rFonts w:ascii="Times New Roman" w:eastAsia="宋体" w:hAnsi="Times New Roman" w:cs="Times New Roman" w:hint="default"/>
        <w:b/>
        <w:color w:val="auto"/>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09B1073E"/>
    <w:multiLevelType w:val="multilevel"/>
    <w:tmpl w:val="09B1073E"/>
    <w:lvl w:ilvl="0">
      <w:start w:val="1"/>
      <w:numFmt w:val="decimal"/>
      <w:lvlText w:val="4.4.%1"/>
      <w:lvlJc w:val="left"/>
      <w:pPr>
        <w:ind w:left="425" w:hanging="425"/>
      </w:pPr>
      <w:rPr>
        <w:rFonts w:hint="eastAsia"/>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0A127911"/>
    <w:multiLevelType w:val="multilevel"/>
    <w:tmpl w:val="0A127911"/>
    <w:lvl w:ilvl="0">
      <w:start w:val="1"/>
      <w:numFmt w:val="decimal"/>
      <w:lvlText w:val="5.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C0308E7"/>
    <w:multiLevelType w:val="multilevel"/>
    <w:tmpl w:val="0C0308E7"/>
    <w:lvl w:ilvl="0">
      <w:start w:val="1"/>
      <w:numFmt w:val="decimal"/>
      <w:lvlText w:val="4.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E866014"/>
    <w:multiLevelType w:val="multilevel"/>
    <w:tmpl w:val="0E866014"/>
    <w:lvl w:ilvl="0">
      <w:start w:val="1"/>
      <w:numFmt w:val="decimal"/>
      <w:lvlText w:val="7.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E9D57DE"/>
    <w:multiLevelType w:val="multilevel"/>
    <w:tmpl w:val="0E9D57DE"/>
    <w:lvl w:ilvl="0">
      <w:start w:val="1"/>
      <w:numFmt w:val="decimal"/>
      <w:lvlText w:val="11.4.%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1E82B30"/>
    <w:multiLevelType w:val="multilevel"/>
    <w:tmpl w:val="11E82B30"/>
    <w:lvl w:ilvl="0">
      <w:start w:val="1"/>
      <w:numFmt w:val="decimal"/>
      <w:lvlText w:val="12.1.%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31214AA"/>
    <w:multiLevelType w:val="multilevel"/>
    <w:tmpl w:val="131214AA"/>
    <w:lvl w:ilvl="0">
      <w:start w:val="1"/>
      <w:numFmt w:val="decimal"/>
      <w:lvlText w:val="10.3.%1"/>
      <w:lvlJc w:val="left"/>
      <w:pPr>
        <w:ind w:left="425" w:hanging="425"/>
      </w:pPr>
      <w:rPr>
        <w:rFonts w:ascii="Times New Roman" w:eastAsia="宋体" w:hAnsi="Times New Roman" w:cs="Times New Roman" w:hint="default"/>
        <w:b/>
        <w:color w:val="auto"/>
        <w:highlight w:val="none"/>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141D4631"/>
    <w:multiLevelType w:val="multilevel"/>
    <w:tmpl w:val="141D4631"/>
    <w:lvl w:ilvl="0">
      <w:start w:val="1"/>
      <w:numFmt w:val="decimal"/>
      <w:lvlText w:val="4.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4303780"/>
    <w:multiLevelType w:val="multilevel"/>
    <w:tmpl w:val="14303780"/>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8" w15:restartNumberingAfterBreak="0">
    <w:nsid w:val="197A2595"/>
    <w:multiLevelType w:val="multilevel"/>
    <w:tmpl w:val="197A2595"/>
    <w:lvl w:ilvl="0">
      <w:start w:val="1"/>
      <w:numFmt w:val="decimal"/>
      <w:lvlText w:val="6.1.%1"/>
      <w:lvlJc w:val="left"/>
      <w:pPr>
        <w:ind w:left="420" w:hanging="420"/>
      </w:pPr>
      <w:rPr>
        <w:rFonts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26485F56"/>
    <w:multiLevelType w:val="multilevel"/>
    <w:tmpl w:val="26485F56"/>
    <w:lvl w:ilvl="0">
      <w:start w:val="1"/>
      <w:numFmt w:val="decimal"/>
      <w:lvlText w:val="9.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9A0E948"/>
    <w:multiLevelType w:val="multilevel"/>
    <w:tmpl w:val="29A0E948"/>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1" w15:restartNumberingAfterBreak="0">
    <w:nsid w:val="2B06317A"/>
    <w:multiLevelType w:val="multilevel"/>
    <w:tmpl w:val="2B06317A"/>
    <w:lvl w:ilvl="0">
      <w:start w:val="1"/>
      <w:numFmt w:val="decimal"/>
      <w:lvlText w:val="8.3.%1"/>
      <w:lvlJc w:val="left"/>
      <w:pPr>
        <w:ind w:left="425" w:hanging="425"/>
      </w:pPr>
      <w:rPr>
        <w:rFonts w:hint="eastAsia"/>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2B4D5B86"/>
    <w:multiLevelType w:val="multilevel"/>
    <w:tmpl w:val="2B4D5B86"/>
    <w:lvl w:ilvl="0">
      <w:start w:val="1"/>
      <w:numFmt w:val="decimal"/>
      <w:lvlText w:val="12.3.%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34F97827"/>
    <w:multiLevelType w:val="multilevel"/>
    <w:tmpl w:val="34F97827"/>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4" w15:restartNumberingAfterBreak="0">
    <w:nsid w:val="36005122"/>
    <w:multiLevelType w:val="multilevel"/>
    <w:tmpl w:val="36005122"/>
    <w:lvl w:ilvl="0">
      <w:start w:val="1"/>
      <w:numFmt w:val="decimal"/>
      <w:lvlText w:val="%1)"/>
      <w:lvlJc w:val="left"/>
      <w:pPr>
        <w:ind w:left="900" w:hanging="420"/>
      </w:pPr>
      <w:rPr>
        <w:b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15:restartNumberingAfterBreak="0">
    <w:nsid w:val="38E1550C"/>
    <w:multiLevelType w:val="multilevel"/>
    <w:tmpl w:val="38E1550C"/>
    <w:lvl w:ilvl="0">
      <w:start w:val="1"/>
      <w:numFmt w:val="decimal"/>
      <w:lvlText w:val="%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394711E0"/>
    <w:multiLevelType w:val="multilevel"/>
    <w:tmpl w:val="394711E0"/>
    <w:lvl w:ilvl="0">
      <w:start w:val="1"/>
      <w:numFmt w:val="decimal"/>
      <w:lvlText w:val="4.3.%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3A516F90"/>
    <w:multiLevelType w:val="multilevel"/>
    <w:tmpl w:val="3A516F90"/>
    <w:lvl w:ilvl="0">
      <w:start w:val="1"/>
      <w:numFmt w:val="decimal"/>
      <w:lvlText w:val="%1"/>
      <w:lvlJc w:val="left"/>
      <w:pPr>
        <w:ind w:left="425" w:hanging="425"/>
      </w:pPr>
      <w:rPr>
        <w:rFonts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3CFD91CB"/>
    <w:multiLevelType w:val="multilevel"/>
    <w:tmpl w:val="3CFD91CB"/>
    <w:lvl w:ilvl="0">
      <w:start w:val="1"/>
      <w:numFmt w:val="decimal"/>
      <w:lvlText w:val="9.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3DAB0472"/>
    <w:multiLevelType w:val="multilevel"/>
    <w:tmpl w:val="3DAB0472"/>
    <w:lvl w:ilvl="0">
      <w:start w:val="1"/>
      <w:numFmt w:val="decimal"/>
      <w:lvlText w:val="11.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E2D7D53"/>
    <w:multiLevelType w:val="multilevel"/>
    <w:tmpl w:val="3E2D7D53"/>
    <w:lvl w:ilvl="0">
      <w:start w:val="1"/>
      <w:numFmt w:val="decimal"/>
      <w:lvlText w:val="12.2.%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3E893F86"/>
    <w:multiLevelType w:val="multilevel"/>
    <w:tmpl w:val="3E893F86"/>
    <w:lvl w:ilvl="0">
      <w:start w:val="1"/>
      <w:numFmt w:val="decimal"/>
      <w:lvlText w:val="11.1.%1"/>
      <w:lvlJc w:val="left"/>
      <w:pPr>
        <w:ind w:left="1129"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01763B0"/>
    <w:multiLevelType w:val="multilevel"/>
    <w:tmpl w:val="401763B0"/>
    <w:lvl w:ilvl="0">
      <w:start w:val="1"/>
      <w:numFmt w:val="decimal"/>
      <w:lvlText w:val="9.4.%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2DA6C91"/>
    <w:multiLevelType w:val="multilevel"/>
    <w:tmpl w:val="42DA6C91"/>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4" w15:restartNumberingAfterBreak="0">
    <w:nsid w:val="43DAD087"/>
    <w:multiLevelType w:val="multilevel"/>
    <w:tmpl w:val="43DAD087"/>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5" w15:restartNumberingAfterBreak="0">
    <w:nsid w:val="44742CBA"/>
    <w:multiLevelType w:val="multilevel"/>
    <w:tmpl w:val="44742CBA"/>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6" w15:restartNumberingAfterBreak="0">
    <w:nsid w:val="48006ECB"/>
    <w:multiLevelType w:val="multilevel"/>
    <w:tmpl w:val="48006ECB"/>
    <w:lvl w:ilvl="0">
      <w:start w:val="1"/>
      <w:numFmt w:val="decimal"/>
      <w:lvlText w:val="%1"/>
      <w:lvlJc w:val="left"/>
      <w:pPr>
        <w:ind w:left="425" w:hanging="425"/>
      </w:pPr>
      <w:rPr>
        <w:rFonts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7" w15:restartNumberingAfterBreak="0">
    <w:nsid w:val="484836F6"/>
    <w:multiLevelType w:val="multilevel"/>
    <w:tmpl w:val="484836F6"/>
    <w:lvl w:ilvl="0">
      <w:start w:val="1"/>
      <w:numFmt w:val="decimal"/>
      <w:lvlText w:val="10.1.%1"/>
      <w:lvlJc w:val="left"/>
      <w:pPr>
        <w:ind w:left="425" w:hanging="425"/>
      </w:pPr>
      <w:rPr>
        <w:rFonts w:ascii="Times New Roman" w:eastAsia="宋体" w:hAnsi="Times New Roman" w:cs="Times New Roman" w:hint="default"/>
        <w:b/>
        <w:color w:val="auto"/>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48CB5D9C"/>
    <w:multiLevelType w:val="multilevel"/>
    <w:tmpl w:val="48CB5D9C"/>
    <w:lvl w:ilvl="0">
      <w:start w:val="1"/>
      <w:numFmt w:val="decimal"/>
      <w:lvlText w:val="3.0.%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4A4FF714"/>
    <w:multiLevelType w:val="multilevel"/>
    <w:tmpl w:val="4A4FF714"/>
    <w:lvl w:ilvl="0">
      <w:start w:val="1"/>
      <w:numFmt w:val="decimal"/>
      <w:lvlText w:val="7.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4F3E4E85"/>
    <w:multiLevelType w:val="multilevel"/>
    <w:tmpl w:val="4F3E4E85"/>
    <w:lvl w:ilvl="0">
      <w:start w:val="1"/>
      <w:numFmt w:val="decimal"/>
      <w:lvlText w:val="5.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4F7B5678"/>
    <w:multiLevelType w:val="multilevel"/>
    <w:tmpl w:val="4F7B5678"/>
    <w:lvl w:ilvl="0">
      <w:start w:val="1"/>
      <w:numFmt w:val="decimal"/>
      <w:lvlText w:val="6.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50EF1550"/>
    <w:multiLevelType w:val="multilevel"/>
    <w:tmpl w:val="50EF1550"/>
    <w:lvl w:ilvl="0">
      <w:start w:val="1"/>
      <w:numFmt w:val="decimal"/>
      <w:lvlText w:val="8.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51BE3130"/>
    <w:multiLevelType w:val="multilevel"/>
    <w:tmpl w:val="51BE3130"/>
    <w:lvl w:ilvl="0">
      <w:start w:val="1"/>
      <w:numFmt w:val="decimal"/>
      <w:lvlText w:val="%1"/>
      <w:lvlJc w:val="left"/>
      <w:pPr>
        <w:ind w:left="900" w:hanging="420"/>
      </w:pPr>
      <w:rPr>
        <w:rFonts w:hint="default"/>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4" w15:restartNumberingAfterBreak="0">
    <w:nsid w:val="52223606"/>
    <w:multiLevelType w:val="multilevel"/>
    <w:tmpl w:val="52223606"/>
    <w:lvl w:ilvl="0">
      <w:start w:val="1"/>
      <w:numFmt w:val="decimal"/>
      <w:lvlText w:val="7.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58D9495C"/>
    <w:multiLevelType w:val="multilevel"/>
    <w:tmpl w:val="58D9495C"/>
    <w:lvl w:ilvl="0">
      <w:start w:val="1"/>
      <w:numFmt w:val="decimal"/>
      <w:lvlText w:val="%1"/>
      <w:lvlJc w:val="left"/>
      <w:pPr>
        <w:ind w:left="425" w:hanging="425"/>
      </w:pPr>
      <w:rPr>
        <w:rFonts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5C0D23DF"/>
    <w:multiLevelType w:val="multilevel"/>
    <w:tmpl w:val="5C0D23DF"/>
    <w:lvl w:ilvl="0">
      <w:start w:val="1"/>
      <w:numFmt w:val="decimal"/>
      <w:lvlText w:val="5.4.%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7" w15:restartNumberingAfterBreak="0">
    <w:nsid w:val="5E066293"/>
    <w:multiLevelType w:val="multilevel"/>
    <w:tmpl w:val="5E066293"/>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8" w15:restartNumberingAfterBreak="0">
    <w:nsid w:val="60BB2D3C"/>
    <w:multiLevelType w:val="multilevel"/>
    <w:tmpl w:val="60BB2D3C"/>
    <w:lvl w:ilvl="0">
      <w:start w:val="1"/>
      <w:numFmt w:val="decimal"/>
      <w:lvlText w:val="8.4.%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9" w15:restartNumberingAfterBreak="0">
    <w:nsid w:val="67487DE1"/>
    <w:multiLevelType w:val="multilevel"/>
    <w:tmpl w:val="67487DE1"/>
    <w:lvl w:ilvl="0">
      <w:start w:val="1"/>
      <w:numFmt w:val="decimal"/>
      <w:lvlText w:val="12.4.%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6776640B"/>
    <w:multiLevelType w:val="multilevel"/>
    <w:tmpl w:val="6776640B"/>
    <w:lvl w:ilvl="0">
      <w:start w:val="1"/>
      <w:numFmt w:val="decimal"/>
      <w:lvlText w:val="9.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6E2418DD"/>
    <w:multiLevelType w:val="multilevel"/>
    <w:tmpl w:val="6E2418DD"/>
    <w:lvl w:ilvl="0">
      <w:start w:val="1"/>
      <w:numFmt w:val="decimal"/>
      <w:lvlText w:val="8.1.%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2" w15:restartNumberingAfterBreak="0">
    <w:nsid w:val="6F6C4764"/>
    <w:multiLevelType w:val="multilevel"/>
    <w:tmpl w:val="6F6C4764"/>
    <w:lvl w:ilvl="0">
      <w:start w:val="1"/>
      <w:numFmt w:val="decimal"/>
      <w:lvlText w:val="11.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735C73C1"/>
    <w:multiLevelType w:val="multilevel"/>
    <w:tmpl w:val="735C73C1"/>
    <w:lvl w:ilvl="0">
      <w:start w:val="1"/>
      <w:numFmt w:val="decimal"/>
      <w:lvlText w:val="4.5.%1"/>
      <w:lvlJc w:val="left"/>
      <w:pPr>
        <w:ind w:left="425" w:hanging="425"/>
      </w:pPr>
      <w:rPr>
        <w:rFonts w:ascii="Times New Roman" w:hAnsi="Times New Roman" w:cs="Times New Roman" w:hint="default"/>
        <w:b/>
        <w:color w:val="auto"/>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4" w15:restartNumberingAfterBreak="0">
    <w:nsid w:val="74D143F3"/>
    <w:multiLevelType w:val="multilevel"/>
    <w:tmpl w:val="74D143F3"/>
    <w:lvl w:ilvl="0">
      <w:start w:val="1"/>
      <w:numFmt w:val="decimal"/>
      <w:lvlText w:val="11.5.%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7F7D3F5F"/>
    <w:multiLevelType w:val="multilevel"/>
    <w:tmpl w:val="7F7D3F5F"/>
    <w:lvl w:ilvl="0">
      <w:start w:val="1"/>
      <w:numFmt w:val="decimal"/>
      <w:lvlText w:val="6.3.%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8"/>
  </w:num>
  <w:num w:numId="2">
    <w:abstractNumId w:val="16"/>
  </w:num>
  <w:num w:numId="3">
    <w:abstractNumId w:val="11"/>
  </w:num>
  <w:num w:numId="4">
    <w:abstractNumId w:val="26"/>
  </w:num>
  <w:num w:numId="5">
    <w:abstractNumId w:val="9"/>
  </w:num>
  <w:num w:numId="6">
    <w:abstractNumId w:val="53"/>
  </w:num>
  <w:num w:numId="7">
    <w:abstractNumId w:val="40"/>
  </w:num>
  <w:num w:numId="8">
    <w:abstractNumId w:val="6"/>
  </w:num>
  <w:num w:numId="9">
    <w:abstractNumId w:val="10"/>
  </w:num>
  <w:num w:numId="10">
    <w:abstractNumId w:val="33"/>
  </w:num>
  <w:num w:numId="11">
    <w:abstractNumId w:val="46"/>
  </w:num>
  <w:num w:numId="12">
    <w:abstractNumId w:val="18"/>
  </w:num>
  <w:num w:numId="13">
    <w:abstractNumId w:val="41"/>
  </w:num>
  <w:num w:numId="14">
    <w:abstractNumId w:val="55"/>
  </w:num>
  <w:num w:numId="15">
    <w:abstractNumId w:val="39"/>
  </w:num>
  <w:num w:numId="16">
    <w:abstractNumId w:val="12"/>
  </w:num>
  <w:num w:numId="17">
    <w:abstractNumId w:val="44"/>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21"/>
  </w:num>
  <w:num w:numId="23">
    <w:abstractNumId w:val="48"/>
  </w:num>
  <w:num w:numId="24">
    <w:abstractNumId w:val="45"/>
  </w:num>
  <w:num w:numId="25">
    <w:abstractNumId w:val="28"/>
  </w:num>
  <w:num w:numId="26">
    <w:abstractNumId w:val="23"/>
  </w:num>
  <w:num w:numId="27">
    <w:abstractNumId w:val="4"/>
  </w:num>
  <w:num w:numId="28">
    <w:abstractNumId w:val="20"/>
  </w:num>
  <w:num w:numId="29">
    <w:abstractNumId w:val="35"/>
  </w:num>
  <w:num w:numId="30">
    <w:abstractNumId w:val="0"/>
  </w:num>
  <w:num w:numId="31">
    <w:abstractNumId w:val="5"/>
  </w:num>
  <w:num w:numId="32">
    <w:abstractNumId w:val="19"/>
  </w:num>
  <w:num w:numId="33">
    <w:abstractNumId w:val="50"/>
  </w:num>
  <w:num w:numId="34">
    <w:abstractNumId w:val="32"/>
  </w:num>
  <w:num w:numId="35">
    <w:abstractNumId w:val="37"/>
  </w:num>
  <w:num w:numId="36">
    <w:abstractNumId w:val="17"/>
  </w:num>
  <w:num w:numId="37">
    <w:abstractNumId w:val="8"/>
  </w:num>
  <w:num w:numId="38">
    <w:abstractNumId w:val="15"/>
  </w:num>
  <w:num w:numId="39">
    <w:abstractNumId w:val="3"/>
  </w:num>
  <w:num w:numId="40">
    <w:abstractNumId w:val="1"/>
  </w:num>
  <w:num w:numId="41">
    <w:abstractNumId w:val="34"/>
  </w:num>
  <w:num w:numId="42">
    <w:abstractNumId w:val="31"/>
  </w:num>
  <w:num w:numId="43">
    <w:abstractNumId w:val="47"/>
  </w:num>
  <w:num w:numId="44">
    <w:abstractNumId w:val="52"/>
  </w:num>
  <w:num w:numId="45">
    <w:abstractNumId w:val="29"/>
  </w:num>
  <w:num w:numId="46">
    <w:abstractNumId w:val="13"/>
  </w:num>
  <w:num w:numId="47">
    <w:abstractNumId w:val="54"/>
  </w:num>
  <w:num w:numId="48">
    <w:abstractNumId w:val="25"/>
  </w:num>
  <w:num w:numId="49">
    <w:abstractNumId w:val="14"/>
  </w:num>
  <w:num w:numId="50">
    <w:abstractNumId w:val="30"/>
  </w:num>
  <w:num w:numId="51">
    <w:abstractNumId w:val="22"/>
  </w:num>
  <w:num w:numId="52">
    <w:abstractNumId w:val="49"/>
  </w:num>
  <w:num w:numId="53">
    <w:abstractNumId w:val="43"/>
  </w:num>
  <w:num w:numId="54">
    <w:abstractNumId w:val="7"/>
  </w:num>
  <w:num w:numId="55">
    <w:abstractNumId w:val="24"/>
  </w:num>
  <w:num w:numId="56">
    <w:abstractNumId w:val="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bs">
    <w15:presenceInfo w15:providerId="None" w15:userId="c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616"/>
    <w:rsid w:val="A7B7D6BC"/>
    <w:rsid w:val="BFDB4952"/>
    <w:rsid w:val="EE7725A2"/>
    <w:rsid w:val="00006E49"/>
    <w:rsid w:val="00045036"/>
    <w:rsid w:val="000607FE"/>
    <w:rsid w:val="00095E38"/>
    <w:rsid w:val="000A2F38"/>
    <w:rsid w:val="000A5251"/>
    <w:rsid w:val="000A712B"/>
    <w:rsid w:val="000C00CF"/>
    <w:rsid w:val="000F0CC8"/>
    <w:rsid w:val="000F2C08"/>
    <w:rsid w:val="001003FA"/>
    <w:rsid w:val="00110873"/>
    <w:rsid w:val="001429BE"/>
    <w:rsid w:val="00164EC6"/>
    <w:rsid w:val="0016657B"/>
    <w:rsid w:val="00173101"/>
    <w:rsid w:val="0018535A"/>
    <w:rsid w:val="001968F2"/>
    <w:rsid w:val="001A3169"/>
    <w:rsid w:val="001A735B"/>
    <w:rsid w:val="001C559C"/>
    <w:rsid w:val="001F3507"/>
    <w:rsid w:val="002029F9"/>
    <w:rsid w:val="002103AE"/>
    <w:rsid w:val="00234518"/>
    <w:rsid w:val="00253F75"/>
    <w:rsid w:val="0027717B"/>
    <w:rsid w:val="002802DF"/>
    <w:rsid w:val="002830F2"/>
    <w:rsid w:val="00296C13"/>
    <w:rsid w:val="002E3DE3"/>
    <w:rsid w:val="002E4F4D"/>
    <w:rsid w:val="002E5A55"/>
    <w:rsid w:val="002E76C5"/>
    <w:rsid w:val="002F50A3"/>
    <w:rsid w:val="003100E6"/>
    <w:rsid w:val="0031130D"/>
    <w:rsid w:val="00317CC7"/>
    <w:rsid w:val="00331BE8"/>
    <w:rsid w:val="0035189C"/>
    <w:rsid w:val="00352A9B"/>
    <w:rsid w:val="00371610"/>
    <w:rsid w:val="003831D5"/>
    <w:rsid w:val="003A0F85"/>
    <w:rsid w:val="003A32CE"/>
    <w:rsid w:val="003A3F61"/>
    <w:rsid w:val="003A79AB"/>
    <w:rsid w:val="003B341F"/>
    <w:rsid w:val="003D1DE6"/>
    <w:rsid w:val="00414983"/>
    <w:rsid w:val="00416B5F"/>
    <w:rsid w:val="0042561D"/>
    <w:rsid w:val="00443787"/>
    <w:rsid w:val="00453F4E"/>
    <w:rsid w:val="00454378"/>
    <w:rsid w:val="00454A62"/>
    <w:rsid w:val="00465EAD"/>
    <w:rsid w:val="00477054"/>
    <w:rsid w:val="00481696"/>
    <w:rsid w:val="00487F2E"/>
    <w:rsid w:val="0049512E"/>
    <w:rsid w:val="004C7EDC"/>
    <w:rsid w:val="004D4616"/>
    <w:rsid w:val="004F6548"/>
    <w:rsid w:val="005317CE"/>
    <w:rsid w:val="00536C5A"/>
    <w:rsid w:val="00540115"/>
    <w:rsid w:val="0054013F"/>
    <w:rsid w:val="0054662A"/>
    <w:rsid w:val="0054750A"/>
    <w:rsid w:val="00563AC0"/>
    <w:rsid w:val="0056537B"/>
    <w:rsid w:val="0056696B"/>
    <w:rsid w:val="005762FB"/>
    <w:rsid w:val="0058650B"/>
    <w:rsid w:val="00586E14"/>
    <w:rsid w:val="005A46F4"/>
    <w:rsid w:val="005A6B3C"/>
    <w:rsid w:val="005C7368"/>
    <w:rsid w:val="005D5DD4"/>
    <w:rsid w:val="005F372D"/>
    <w:rsid w:val="005F43E1"/>
    <w:rsid w:val="005F579D"/>
    <w:rsid w:val="00600797"/>
    <w:rsid w:val="00620896"/>
    <w:rsid w:val="00620D14"/>
    <w:rsid w:val="00622EE7"/>
    <w:rsid w:val="006316AA"/>
    <w:rsid w:val="006368AA"/>
    <w:rsid w:val="00636C92"/>
    <w:rsid w:val="00641A1E"/>
    <w:rsid w:val="00650925"/>
    <w:rsid w:val="00661094"/>
    <w:rsid w:val="006657ED"/>
    <w:rsid w:val="00666F72"/>
    <w:rsid w:val="00671235"/>
    <w:rsid w:val="00692BB9"/>
    <w:rsid w:val="006C7E08"/>
    <w:rsid w:val="006D0FE7"/>
    <w:rsid w:val="006D15FE"/>
    <w:rsid w:val="006D1D60"/>
    <w:rsid w:val="006D38F5"/>
    <w:rsid w:val="006E09AF"/>
    <w:rsid w:val="006E4060"/>
    <w:rsid w:val="006F1128"/>
    <w:rsid w:val="006F6749"/>
    <w:rsid w:val="0070183B"/>
    <w:rsid w:val="00703B3C"/>
    <w:rsid w:val="00734204"/>
    <w:rsid w:val="0073526F"/>
    <w:rsid w:val="00740647"/>
    <w:rsid w:val="00751795"/>
    <w:rsid w:val="00756BE4"/>
    <w:rsid w:val="00765B23"/>
    <w:rsid w:val="00772125"/>
    <w:rsid w:val="00781E45"/>
    <w:rsid w:val="00781F48"/>
    <w:rsid w:val="00790CB8"/>
    <w:rsid w:val="00791400"/>
    <w:rsid w:val="00793DB5"/>
    <w:rsid w:val="0079799C"/>
    <w:rsid w:val="007A27EE"/>
    <w:rsid w:val="007A4C28"/>
    <w:rsid w:val="007B4CAA"/>
    <w:rsid w:val="007C39BF"/>
    <w:rsid w:val="007D3469"/>
    <w:rsid w:val="007E1B8B"/>
    <w:rsid w:val="007E4EF0"/>
    <w:rsid w:val="007F1EED"/>
    <w:rsid w:val="007F731B"/>
    <w:rsid w:val="00803049"/>
    <w:rsid w:val="008042E8"/>
    <w:rsid w:val="00812BBB"/>
    <w:rsid w:val="00812CD7"/>
    <w:rsid w:val="00830B40"/>
    <w:rsid w:val="00843D30"/>
    <w:rsid w:val="0084756A"/>
    <w:rsid w:val="008553B4"/>
    <w:rsid w:val="008614D6"/>
    <w:rsid w:val="0086468A"/>
    <w:rsid w:val="00866A0B"/>
    <w:rsid w:val="0087134B"/>
    <w:rsid w:val="008726A3"/>
    <w:rsid w:val="0087634E"/>
    <w:rsid w:val="00882C78"/>
    <w:rsid w:val="00884C90"/>
    <w:rsid w:val="008974D2"/>
    <w:rsid w:val="00897E07"/>
    <w:rsid w:val="008B2351"/>
    <w:rsid w:val="008C28D9"/>
    <w:rsid w:val="008C56E9"/>
    <w:rsid w:val="008D4D53"/>
    <w:rsid w:val="008D552C"/>
    <w:rsid w:val="0090213E"/>
    <w:rsid w:val="00902D57"/>
    <w:rsid w:val="00907A50"/>
    <w:rsid w:val="00913F34"/>
    <w:rsid w:val="00931F98"/>
    <w:rsid w:val="009371E5"/>
    <w:rsid w:val="00950076"/>
    <w:rsid w:val="00960730"/>
    <w:rsid w:val="00966EF8"/>
    <w:rsid w:val="00987740"/>
    <w:rsid w:val="00995F76"/>
    <w:rsid w:val="0099622E"/>
    <w:rsid w:val="00997A7C"/>
    <w:rsid w:val="009A5070"/>
    <w:rsid w:val="009A5186"/>
    <w:rsid w:val="009A60F1"/>
    <w:rsid w:val="009B5347"/>
    <w:rsid w:val="009B6562"/>
    <w:rsid w:val="009C771D"/>
    <w:rsid w:val="009E0429"/>
    <w:rsid w:val="009E0C53"/>
    <w:rsid w:val="009E12CF"/>
    <w:rsid w:val="00A07713"/>
    <w:rsid w:val="00A2208B"/>
    <w:rsid w:val="00A2499C"/>
    <w:rsid w:val="00A4624E"/>
    <w:rsid w:val="00A70EC6"/>
    <w:rsid w:val="00AA1BD0"/>
    <w:rsid w:val="00AA28A8"/>
    <w:rsid w:val="00AB443A"/>
    <w:rsid w:val="00AB49EB"/>
    <w:rsid w:val="00AB5DEA"/>
    <w:rsid w:val="00AC2AC5"/>
    <w:rsid w:val="00AC7161"/>
    <w:rsid w:val="00AD5883"/>
    <w:rsid w:val="00AD5C19"/>
    <w:rsid w:val="00AE228F"/>
    <w:rsid w:val="00AE3612"/>
    <w:rsid w:val="00AE604C"/>
    <w:rsid w:val="00B130C9"/>
    <w:rsid w:val="00B47039"/>
    <w:rsid w:val="00B501C1"/>
    <w:rsid w:val="00B5563F"/>
    <w:rsid w:val="00B623CE"/>
    <w:rsid w:val="00B676C9"/>
    <w:rsid w:val="00B74780"/>
    <w:rsid w:val="00B77880"/>
    <w:rsid w:val="00B812E2"/>
    <w:rsid w:val="00B94909"/>
    <w:rsid w:val="00B969EE"/>
    <w:rsid w:val="00BA1B0F"/>
    <w:rsid w:val="00BB3A9E"/>
    <w:rsid w:val="00BB4455"/>
    <w:rsid w:val="00BD4FD8"/>
    <w:rsid w:val="00BE1C26"/>
    <w:rsid w:val="00BE2DC8"/>
    <w:rsid w:val="00BF59FC"/>
    <w:rsid w:val="00C23B8C"/>
    <w:rsid w:val="00C25B36"/>
    <w:rsid w:val="00C27191"/>
    <w:rsid w:val="00C27E63"/>
    <w:rsid w:val="00C44DE0"/>
    <w:rsid w:val="00C6036D"/>
    <w:rsid w:val="00C65AC5"/>
    <w:rsid w:val="00C725B6"/>
    <w:rsid w:val="00C90185"/>
    <w:rsid w:val="00C904C0"/>
    <w:rsid w:val="00C924AC"/>
    <w:rsid w:val="00CA38ED"/>
    <w:rsid w:val="00CA3E68"/>
    <w:rsid w:val="00CB087F"/>
    <w:rsid w:val="00CB1C59"/>
    <w:rsid w:val="00CD41D3"/>
    <w:rsid w:val="00CE1323"/>
    <w:rsid w:val="00CE2FB3"/>
    <w:rsid w:val="00CE4A97"/>
    <w:rsid w:val="00CF0A8B"/>
    <w:rsid w:val="00CF4DA1"/>
    <w:rsid w:val="00D01766"/>
    <w:rsid w:val="00D02FEF"/>
    <w:rsid w:val="00D1310B"/>
    <w:rsid w:val="00D15F39"/>
    <w:rsid w:val="00D4452F"/>
    <w:rsid w:val="00D45916"/>
    <w:rsid w:val="00D45B14"/>
    <w:rsid w:val="00D51886"/>
    <w:rsid w:val="00D54C00"/>
    <w:rsid w:val="00D65DFF"/>
    <w:rsid w:val="00D77665"/>
    <w:rsid w:val="00D80936"/>
    <w:rsid w:val="00D92348"/>
    <w:rsid w:val="00D945D6"/>
    <w:rsid w:val="00D95BBD"/>
    <w:rsid w:val="00D978E3"/>
    <w:rsid w:val="00DB4C8C"/>
    <w:rsid w:val="00DB51F4"/>
    <w:rsid w:val="00DC4662"/>
    <w:rsid w:val="00DC7BF0"/>
    <w:rsid w:val="00DD5A27"/>
    <w:rsid w:val="00DE0105"/>
    <w:rsid w:val="00DE1EC0"/>
    <w:rsid w:val="00DE5089"/>
    <w:rsid w:val="00DF0899"/>
    <w:rsid w:val="00DF1DBD"/>
    <w:rsid w:val="00E2121C"/>
    <w:rsid w:val="00E249FF"/>
    <w:rsid w:val="00E43E6A"/>
    <w:rsid w:val="00E60909"/>
    <w:rsid w:val="00E72395"/>
    <w:rsid w:val="00E82D20"/>
    <w:rsid w:val="00E87B1A"/>
    <w:rsid w:val="00EA5CCF"/>
    <w:rsid w:val="00EC4139"/>
    <w:rsid w:val="00EC5CB4"/>
    <w:rsid w:val="00EF400E"/>
    <w:rsid w:val="00EF713D"/>
    <w:rsid w:val="00F0627A"/>
    <w:rsid w:val="00F367C9"/>
    <w:rsid w:val="00F41558"/>
    <w:rsid w:val="00F57157"/>
    <w:rsid w:val="00F61559"/>
    <w:rsid w:val="00F628DF"/>
    <w:rsid w:val="00F76EDF"/>
    <w:rsid w:val="00F841E2"/>
    <w:rsid w:val="00F8555A"/>
    <w:rsid w:val="00F973E3"/>
    <w:rsid w:val="00FA4791"/>
    <w:rsid w:val="00FC0F19"/>
    <w:rsid w:val="00FC3E7F"/>
    <w:rsid w:val="00FC4C8E"/>
    <w:rsid w:val="00FF552D"/>
    <w:rsid w:val="00FF6090"/>
    <w:rsid w:val="00FF7A46"/>
    <w:rsid w:val="1CDE79D7"/>
    <w:rsid w:val="324B1DD0"/>
    <w:rsid w:val="5AAB99E0"/>
    <w:rsid w:val="6FC983F8"/>
    <w:rsid w:val="7BFAFB05"/>
    <w:rsid w:val="7FFF4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E26D"/>
  <w15:docId w15:val="{19ACC47C-C44F-4FCF-849C-BE77F992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宋体" w:hAnsi="等线" w:cs="Times New Roman"/>
      <w:kern w:val="2"/>
      <w:sz w:val="24"/>
      <w:szCs w:val="22"/>
    </w:rPr>
  </w:style>
  <w:style w:type="paragraph" w:styleId="1">
    <w:name w:val="heading 1"/>
    <w:next w:val="a"/>
    <w:link w:val="10"/>
    <w:qFormat/>
    <w:pPr>
      <w:keepNext/>
      <w:keepLines/>
      <w:pageBreakBefore/>
      <w:spacing w:before="360" w:after="360"/>
      <w:jc w:val="center"/>
      <w:outlineLvl w:val="0"/>
    </w:pPr>
    <w:rPr>
      <w:rFonts w:ascii="Times New Roman" w:eastAsia="宋体" w:hAnsi="Times New Roman" w:cs="Times New Roman"/>
      <w:b/>
      <w:bCs/>
      <w:kern w:val="44"/>
      <w:sz w:val="30"/>
      <w:szCs w:val="44"/>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ind w:leftChars="1200" w:left="2520"/>
    </w:pPr>
    <w:rPr>
      <w:rFonts w:asciiTheme="minorHAnsi" w:eastAsiaTheme="minorEastAsia" w:hAnsiTheme="minorHAnsi" w:cstheme="minorBidi"/>
      <w:sz w:val="21"/>
    </w:rPr>
  </w:style>
  <w:style w:type="paragraph" w:styleId="a3">
    <w:name w:val="Document Map"/>
    <w:basedOn w:val="a"/>
    <w:link w:val="a4"/>
    <w:uiPriority w:val="99"/>
    <w:semiHidden/>
    <w:unhideWhenUsed/>
    <w:qFormat/>
    <w:pPr>
      <w:spacing w:line="360" w:lineRule="auto"/>
    </w:pPr>
    <w:rPr>
      <w:rFonts w:ascii="宋体" w:hAnsi="Times New Roman"/>
      <w:sz w:val="18"/>
      <w:szCs w:val="18"/>
    </w:rPr>
  </w:style>
  <w:style w:type="paragraph" w:styleId="a5">
    <w:name w:val="annotation text"/>
    <w:basedOn w:val="a"/>
    <w:link w:val="a6"/>
    <w:uiPriority w:val="99"/>
    <w:unhideWhenUsed/>
    <w:qFormat/>
    <w:pPr>
      <w:spacing w:line="360" w:lineRule="auto"/>
      <w:jc w:val="left"/>
    </w:pPr>
    <w:rPr>
      <w:rFonts w:ascii="Times New Roman" w:hAnsi="Times New Roman"/>
    </w:rPr>
  </w:style>
  <w:style w:type="paragraph" w:styleId="TOC5">
    <w:name w:val="toc 5"/>
    <w:basedOn w:val="a"/>
    <w:next w:val="a"/>
    <w:autoRedefine/>
    <w:uiPriority w:val="39"/>
    <w:unhideWhenUsed/>
    <w:pPr>
      <w:ind w:leftChars="800" w:left="1680"/>
    </w:pPr>
    <w:rPr>
      <w:rFonts w:asciiTheme="minorHAnsi" w:eastAsiaTheme="minorEastAsia" w:hAnsiTheme="minorHAnsi" w:cstheme="minorBidi"/>
      <w:sz w:val="21"/>
    </w:rPr>
  </w:style>
  <w:style w:type="paragraph" w:styleId="TOC3">
    <w:name w:val="toc 3"/>
    <w:basedOn w:val="a"/>
    <w:next w:val="a"/>
    <w:uiPriority w:val="39"/>
    <w:unhideWhenUsed/>
    <w:pPr>
      <w:ind w:leftChars="400" w:left="840"/>
    </w:pPr>
  </w:style>
  <w:style w:type="paragraph" w:styleId="TOC8">
    <w:name w:val="toc 8"/>
    <w:basedOn w:val="a"/>
    <w:next w:val="a"/>
    <w:autoRedefine/>
    <w:uiPriority w:val="39"/>
    <w:unhideWhenUsed/>
    <w:qFormat/>
    <w:pPr>
      <w:ind w:leftChars="1400" w:left="2940"/>
    </w:pPr>
    <w:rPr>
      <w:rFonts w:asciiTheme="minorHAnsi" w:eastAsiaTheme="minorEastAsia" w:hAnsiTheme="minorHAnsi" w:cstheme="minorBidi"/>
      <w:sz w:val="21"/>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next w:val="a"/>
    <w:uiPriority w:val="39"/>
    <w:unhideWhenUsed/>
    <w:qFormat/>
    <w:pPr>
      <w:keepNext/>
      <w:tabs>
        <w:tab w:val="right" w:leader="dot" w:pos="8505"/>
      </w:tabs>
    </w:pPr>
    <w:rPr>
      <w:rFonts w:ascii="Times New Roman" w:eastAsia="等线" w:hAnsi="Times New Roman" w:cs="Times New Roman"/>
      <w:kern w:val="2"/>
      <w:sz w:val="24"/>
      <w:szCs w:val="22"/>
    </w:rPr>
  </w:style>
  <w:style w:type="paragraph" w:styleId="TOC4">
    <w:name w:val="toc 4"/>
    <w:basedOn w:val="a"/>
    <w:next w:val="a"/>
    <w:autoRedefine/>
    <w:uiPriority w:val="39"/>
    <w:unhideWhenUsed/>
    <w:qFormat/>
    <w:pPr>
      <w:ind w:leftChars="600" w:left="1260"/>
    </w:pPr>
    <w:rPr>
      <w:rFonts w:asciiTheme="minorHAnsi" w:eastAsiaTheme="minorEastAsia" w:hAnsiTheme="minorHAnsi" w:cstheme="minorBidi"/>
      <w:sz w:val="21"/>
    </w:rPr>
  </w:style>
  <w:style w:type="paragraph" w:styleId="TOC6">
    <w:name w:val="toc 6"/>
    <w:basedOn w:val="a"/>
    <w:next w:val="a"/>
    <w:autoRedefine/>
    <w:uiPriority w:val="39"/>
    <w:unhideWhenUsed/>
    <w:qFormat/>
    <w:pPr>
      <w:ind w:leftChars="1000" w:left="2100"/>
    </w:pPr>
    <w:rPr>
      <w:rFonts w:asciiTheme="minorHAnsi" w:eastAsiaTheme="minorEastAsia" w:hAnsiTheme="minorHAnsi" w:cstheme="minorBidi"/>
      <w:sz w:val="21"/>
    </w:rPr>
  </w:style>
  <w:style w:type="paragraph" w:styleId="TOC2">
    <w:name w:val="toc 2"/>
    <w:next w:val="a"/>
    <w:uiPriority w:val="39"/>
    <w:unhideWhenUsed/>
    <w:qFormat/>
    <w:pPr>
      <w:tabs>
        <w:tab w:val="right" w:leader="dot" w:pos="8505"/>
      </w:tabs>
      <w:ind w:left="238"/>
    </w:pPr>
    <w:rPr>
      <w:rFonts w:ascii="Times New Roman" w:eastAsia="宋体" w:hAnsi="Times New Roman" w:cs="Times New Roman"/>
      <w:kern w:val="2"/>
      <w:sz w:val="21"/>
    </w:rPr>
  </w:style>
  <w:style w:type="paragraph" w:styleId="TOC9">
    <w:name w:val="toc 9"/>
    <w:basedOn w:val="a"/>
    <w:next w:val="a"/>
    <w:autoRedefine/>
    <w:uiPriority w:val="39"/>
    <w:unhideWhenUsed/>
    <w:qFormat/>
    <w:pPr>
      <w:ind w:leftChars="1600" w:left="3360"/>
    </w:pPr>
    <w:rPr>
      <w:rFonts w:asciiTheme="minorHAnsi" w:eastAsiaTheme="minorEastAsia" w:hAnsiTheme="minorHAnsi" w:cstheme="minorBidi"/>
      <w:sz w:val="21"/>
    </w:rPr>
  </w:style>
  <w:style w:type="paragraph" w:styleId="ad">
    <w:name w:val="Normal (Web)"/>
    <w:basedOn w:val="a"/>
    <w:uiPriority w:val="99"/>
    <w:semiHidden/>
    <w:unhideWhenUsed/>
    <w:qFormat/>
    <w:pPr>
      <w:widowControl/>
      <w:spacing w:before="100" w:beforeAutospacing="1" w:after="100" w:afterAutospacing="1"/>
      <w:jc w:val="left"/>
    </w:pPr>
    <w:rPr>
      <w:rFonts w:ascii="宋体" w:hAnsi="宋体" w:cs="宋体"/>
      <w:kern w:val="0"/>
      <w:szCs w:val="24"/>
    </w:rPr>
  </w:style>
  <w:style w:type="paragraph" w:styleId="ae">
    <w:name w:val="annotation subject"/>
    <w:basedOn w:val="a5"/>
    <w:next w:val="a5"/>
    <w:link w:val="af"/>
    <w:uiPriority w:val="99"/>
    <w:semiHidden/>
    <w:unhideWhenUsed/>
    <w:qFormat/>
    <w:pPr>
      <w:spacing w:line="240" w:lineRule="auto"/>
    </w:pPr>
    <w:rPr>
      <w:rFonts w:ascii="等线" w:hAnsi="等线"/>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qFormat/>
    <w:rPr>
      <w:color w:val="0563C1"/>
      <w:u w:val="single"/>
    </w:rPr>
  </w:style>
  <w:style w:type="character" w:styleId="af2">
    <w:name w:val="annotation reference"/>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30"/>
      <w:szCs w:val="44"/>
    </w:rPr>
  </w:style>
  <w:style w:type="character" w:customStyle="1" w:styleId="30">
    <w:name w:val="标题 3 字符"/>
    <w:basedOn w:val="a0"/>
    <w:link w:val="3"/>
    <w:uiPriority w:val="9"/>
    <w:semiHidden/>
    <w:qFormat/>
    <w:rPr>
      <w:rFonts w:ascii="等线" w:eastAsia="宋体" w:hAnsi="等线" w:cs="Times New Roman"/>
      <w:b/>
      <w:bCs/>
      <w:sz w:val="32"/>
      <w:szCs w:val="32"/>
    </w:rPr>
  </w:style>
  <w:style w:type="paragraph" w:styleId="af3">
    <w:name w:val="List Paragraph"/>
    <w:basedOn w:val="a"/>
    <w:link w:val="af4"/>
    <w:uiPriority w:val="34"/>
    <w:qFormat/>
    <w:pPr>
      <w:spacing w:line="360" w:lineRule="auto"/>
      <w:ind w:firstLineChars="200" w:firstLine="420"/>
    </w:pPr>
    <w:rPr>
      <w:rFonts w:ascii="Times New Roman" w:hAnsi="Times New Roman"/>
    </w:rPr>
  </w:style>
  <w:style w:type="character" w:customStyle="1" w:styleId="af4">
    <w:name w:val="列表段落 字符"/>
    <w:link w:val="af3"/>
    <w:uiPriority w:val="34"/>
    <w:qFormat/>
    <w:rPr>
      <w:rFonts w:ascii="Times New Roman" w:eastAsia="宋体" w:hAnsi="Times New Roman" w:cs="Times New Roman"/>
      <w:sz w:val="24"/>
    </w:rPr>
  </w:style>
  <w:style w:type="paragraph" w:customStyle="1" w:styleId="af5">
    <w:name w:val="条文说明格式"/>
    <w:basedOn w:val="af3"/>
    <w:link w:val="af6"/>
    <w:qFormat/>
    <w:pPr>
      <w:ind w:firstLineChars="0" w:firstLine="0"/>
    </w:pPr>
    <w:rPr>
      <w:rFonts w:ascii="楷体" w:eastAsia="楷体" w:hAnsi="楷体"/>
      <w:color w:val="5B9BD5" w:themeColor="accent1"/>
    </w:rPr>
  </w:style>
  <w:style w:type="character" w:customStyle="1" w:styleId="af6">
    <w:name w:val="条文说明格式 字符"/>
    <w:basedOn w:val="af4"/>
    <w:link w:val="af5"/>
    <w:qFormat/>
    <w:rPr>
      <w:rFonts w:ascii="楷体" w:eastAsia="楷体" w:hAnsi="楷体" w:cs="Times New Roman"/>
      <w:color w:val="5B9BD5" w:themeColor="accent1"/>
      <w:sz w:val="24"/>
    </w:rPr>
  </w:style>
  <w:style w:type="paragraph" w:customStyle="1" w:styleId="af7">
    <w:name w:val="正文条目加黑"/>
    <w:qFormat/>
    <w:pPr>
      <w:widowControl w:val="0"/>
      <w:spacing w:after="100" w:afterAutospacing="1" w:line="360" w:lineRule="auto"/>
      <w:jc w:val="both"/>
    </w:pPr>
    <w:rPr>
      <w:rFonts w:ascii="Times New Roman" w:eastAsia="宋体" w:hAnsi="Times New Roman" w:cs="Times New Roman"/>
      <w:b/>
      <w:kern w:val="2"/>
      <w:sz w:val="24"/>
      <w:szCs w:val="22"/>
    </w:rPr>
  </w:style>
  <w:style w:type="character" w:customStyle="1" w:styleId="a6">
    <w:name w:val="批注文字 字符"/>
    <w:basedOn w:val="a0"/>
    <w:link w:val="a5"/>
    <w:uiPriority w:val="99"/>
    <w:qFormat/>
    <w:rPr>
      <w:rFonts w:ascii="Times New Roman" w:eastAsia="宋体" w:hAnsi="Times New Roman" w:cs="Times New Roman"/>
      <w:sz w:val="24"/>
    </w:rPr>
  </w:style>
  <w:style w:type="character" w:customStyle="1" w:styleId="a8">
    <w:name w:val="批注框文本 字符"/>
    <w:basedOn w:val="a0"/>
    <w:link w:val="a7"/>
    <w:uiPriority w:val="99"/>
    <w:semiHidden/>
    <w:qFormat/>
    <w:rPr>
      <w:rFonts w:ascii="等线" w:eastAsia="宋体" w:hAnsi="等线" w:cs="Times New Roman"/>
      <w:sz w:val="18"/>
      <w:szCs w:val="18"/>
    </w:rPr>
  </w:style>
  <w:style w:type="paragraph" w:customStyle="1" w:styleId="af8">
    <w:name w:val="正文条目"/>
    <w:basedOn w:val="af7"/>
    <w:qFormat/>
    <w:pPr>
      <w:spacing w:after="0" w:afterAutospacing="0"/>
    </w:pPr>
    <w:rPr>
      <w:b w:val="0"/>
    </w:rPr>
  </w:style>
  <w:style w:type="character" w:customStyle="1" w:styleId="af">
    <w:name w:val="批注主题 字符"/>
    <w:basedOn w:val="a6"/>
    <w:link w:val="ae"/>
    <w:uiPriority w:val="99"/>
    <w:semiHidden/>
    <w:qFormat/>
    <w:rPr>
      <w:rFonts w:ascii="等线" w:eastAsia="宋体" w:hAnsi="等线" w:cs="Times New Roman"/>
      <w:b/>
      <w:bCs/>
      <w:sz w:val="24"/>
    </w:rPr>
  </w:style>
  <w:style w:type="character" w:customStyle="1" w:styleId="a4">
    <w:name w:val="文档结构图 字符"/>
    <w:basedOn w:val="a0"/>
    <w:link w:val="a3"/>
    <w:uiPriority w:val="99"/>
    <w:semiHidden/>
    <w:qFormat/>
    <w:rPr>
      <w:rFonts w:ascii="宋体" w:eastAsia="宋体" w:hAnsi="Times New Roman" w:cs="Times New Roman"/>
      <w:sz w:val="18"/>
      <w:szCs w:val="18"/>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paragraph" w:customStyle="1" w:styleId="m">
    <w:name w:val="内装标准m"/>
    <w:basedOn w:val="a"/>
    <w:qFormat/>
    <w:pPr>
      <w:spacing w:beforeLines="25" w:before="25" w:line="360" w:lineRule="auto"/>
      <w:contextualSpacing/>
    </w:pPr>
    <w:rPr>
      <w:rFonts w:asciiTheme="minorHAnsi" w:eastAsiaTheme="minorEastAsia" w:hAnsiTheme="minorHAnsi" w:cstheme="minorBidi"/>
      <w:szCs w:val="24"/>
    </w:rPr>
  </w:style>
  <w:style w:type="paragraph" w:customStyle="1" w:styleId="af9">
    <w:name w:val="三级条标题"/>
    <w:basedOn w:val="a"/>
    <w:next w:val="afa"/>
    <w:qFormat/>
    <w:pPr>
      <w:widowControl/>
      <w:tabs>
        <w:tab w:val="left" w:pos="340"/>
        <w:tab w:val="left" w:pos="453"/>
      </w:tabs>
      <w:ind w:left="1080" w:hanging="1080"/>
      <w:jc w:val="left"/>
      <w:outlineLvl w:val="4"/>
    </w:pPr>
    <w:rPr>
      <w:rFonts w:ascii="Calibri" w:eastAsia="黑体" w:hAnsi="Calibri"/>
      <w:kern w:val="0"/>
      <w:sz w:val="21"/>
    </w:rPr>
  </w:style>
  <w:style w:type="paragraph" w:customStyle="1" w:styleId="afa">
    <w:name w:val="段"/>
    <w:qFormat/>
    <w:pPr>
      <w:autoSpaceDE w:val="0"/>
      <w:autoSpaceDN w:val="0"/>
      <w:ind w:firstLineChars="200" w:firstLine="200"/>
      <w:jc w:val="both"/>
    </w:pPr>
    <w:rPr>
      <w:rFonts w:ascii="宋体" w:eastAsia="宋体" w:hAnsi="Calibri" w:cs="Times New Roman"/>
      <w:sz w:val="21"/>
    </w:rPr>
  </w:style>
  <w:style w:type="paragraph" w:styleId="afb">
    <w:name w:val="No Spacing"/>
    <w:uiPriority w:val="1"/>
    <w:qFormat/>
    <w:pPr>
      <w:widowControl w:val="0"/>
      <w:jc w:val="both"/>
    </w:pPr>
    <w:rPr>
      <w:rFonts w:ascii="等线" w:eastAsia="宋体" w:hAnsi="等线" w:cs="Times New Roman"/>
      <w:kern w:val="2"/>
      <w:sz w:val="24"/>
      <w:szCs w:val="22"/>
    </w:rPr>
  </w:style>
  <w:style w:type="paragraph" w:customStyle="1" w:styleId="11">
    <w:name w:val="列出段落1"/>
    <w:basedOn w:val="a"/>
    <w:qFormat/>
    <w:pPr>
      <w:spacing w:line="360" w:lineRule="auto"/>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11.jpeg"/><Relationship Id="rId39" Type="http://schemas.microsoft.com/office/2011/relationships/people" Target="people.xml"/><Relationship Id="rId21" Type="http://schemas.openxmlformats.org/officeDocument/2006/relationships/image" Target="media/image6.png"/><Relationship Id="rId34" Type="http://schemas.openxmlformats.org/officeDocument/2006/relationships/image" Target="media/image19.jpe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dataSourceCollection xmlns="http://www.yonyou.com/datasource"/>
</file>

<file path=customXml/itemProps1.xml><?xml version="1.0" encoding="utf-8"?>
<ds:datastoreItem xmlns:ds="http://schemas.openxmlformats.org/officeDocument/2006/customXml" ds:itemID="{97D06BA1-AA0A-4244-9C80-5DEE6A0220AD}">
  <ds:schemaRefs>
    <ds:schemaRef ds:uri="http://www.yonyou.com/relation"/>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D2CE494-91AE-4310-BDC5-37FC142F35FA}">
  <ds:schemaRefs>
    <ds:schemaRef ds:uri="http://www.yonyou.com/datasource"/>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90</Pages>
  <Words>8874</Words>
  <Characters>50582</Characters>
  <Application>Microsoft Office Word</Application>
  <DocSecurity>0</DocSecurity>
  <Lines>421</Lines>
  <Paragraphs>118</Paragraphs>
  <ScaleCrop>false</ScaleCrop>
  <Company/>
  <LinksUpToDate>false</LinksUpToDate>
  <CharactersWithSpaces>59338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苗青笔记本</dc:creator>
  <cp:lastModifiedBy>书涛</cp:lastModifiedBy>
  <cp:revision>7</cp:revision>
  <cp:lastPrinted>2024-11-20T15:55:00Z</cp:lastPrinted>
  <dcterms:created xsi:type="dcterms:W3CDTF">2025-11-17T11:12:00Z</dcterms:created>
  <dcterms:modified xsi:type="dcterms:W3CDTF">2026-05-18T02:46:00Z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C1BFD6A507B9FD015E6EAE699D4B1DC8_43</vt:lpwstr>
  </property>
</Properties>
</file>