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康巴什区智慧停车场项目建设及收费管理</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实施方案（讨论稿）</w:t>
      </w:r>
    </w:p>
    <w:bookmarkEnd w:id="0"/>
    <w:p>
      <w:pPr>
        <w:spacing w:line="560" w:lineRule="exact"/>
      </w:pPr>
      <w:r>
        <w:rPr>
          <w:rFonts w:hint="eastAsia"/>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随着城市的快速发展以及机动车保有量的持续攀升，康巴什区“停车难、停车乱”等问题日益突出，对城市交通秩序和市民生活质量带来了严重影响。依据《内蒙古自治区城市公共停车场管理办法》（内建管〔2021〕257号）（2022年）以及《鄂尔多斯市停车场建设管理条例》（2025年3月1日施行）等相关规定，为有效整合利用全区停车资源，提升道路通行能力，提高城市治理服务水平，特制定本实施方案。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一、实施背景及必要性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2025年，康巴什区第二届委员会第九次全体会议暨全区经济工作会议明确提出要建设美丽暖城示范区，致力于提高城市品质，完善城市功能，打造现代化宜居宜业的中心城区。然而，当前中心城区公共区域的停车设施建设相对滞后，停车位供给严重不足，“停车难、市政设施破损”等问题日益凸显，不仅影响了市容秩序和市民的日常出行，也对城市的可持续发展形成了制约。目前，全区停车场管理存在信息化程度低、资源利用不充分等问题，导致停车资源严重浪费。通过建设智慧停车场，运用信息化手段优化停车资源管理，能够显著提升停车场管理效率，充分发挥停车场资源价值，有效解决就近停车难、找车位难等问题。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二、指导思想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坚持以习近平新时代中国特色社会主义思想为指引，牢固树立以人民为中心的发展理念，顺应智慧城市建设新趋势和人民群众新期待。以提高城市停车资源集约利用效率、缓解供需矛盾为切入点，优化停车设施供给结构，借助大数据、物联网和5G技术实现效率支付，构建布局合理、供给充足、智能高效、便捷可及的智能城市停车泊位管理系统，推动停车产业与互联网融合发展，有效满足市场主体和市民合理的停车需求，为现代城市发展提供有力支撑。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三、基本原则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根据《鄂尔多斯市停车场建设管理条例》，公共停车场是指在城市道路外，供社会公众停放车辆的场所，包括独立建设的公共停车场和建筑物配建的作为公共服务设施的公共停车场。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（一）合理规划，分步实施。</w:t>
      </w:r>
      <w:r>
        <w:rPr>
          <w:rFonts w:hint="eastAsia" w:ascii="仿宋_GB2312" w:hAnsi="仿宋_GB2312" w:eastAsia="仿宋_GB2312" w:cs="仿宋_GB2312"/>
          <w:sz w:val="32"/>
          <w:szCs w:val="32"/>
        </w:rPr>
        <w:t>全面统筹全区现有的城区停车泊位资源，结合城市功能布局和交通流量状况，科学规划停车场建设。建立智慧停车管理与运营管理组织架构，依据统一规划和规范，分区域、分阶段组织实施建设工作。</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（二）规范管理，便民利民。</w:t>
      </w:r>
      <w:r>
        <w:rPr>
          <w:rFonts w:hint="eastAsia" w:ascii="仿宋_GB2312" w:hAnsi="仿宋_GB2312" w:eastAsia="仿宋_GB2312" w:cs="仿宋_GB2312"/>
          <w:sz w:val="32"/>
          <w:szCs w:val="32"/>
        </w:rPr>
        <w:t xml:space="preserve">实行“中心区域高于非中心、干道高于支路、高峰高于平峰”的收费原则，引导车辆合理分流，提高停车资源利用效率。优化服务流程，支持移动支付、效率支付等便捷缴费方式，为市民提供更加便捷、高效的停车服务体验。 </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四、组织领导</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为保障康巴什区智慧停车场项目建设及收费管理工作的顺利推进，成立专项工作领导小组，全面统筹协调各相关部门，明确职责分工，确保项目各环节有序开展。成立智慧停车场建设工作领导小组（以下简称领导小组），成员如下：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  长：方立妍区长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副组长：王瑞祥副区长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  员：区城市管理局、区国资委、区住建局、区交管大队、区发改委、区财政局、区自然资源局、区市场监督局、区消防救援大队、智慧停车场运营单位。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导小组职责：领导小组下设办公室，办公室设在区城市管理局，办公室主任由刘新宽同志兼任。领导小组负责项目战略规划与决策，精准把控建设方向；协调各方资源，保障项目稳步推进；制定并落实相关政策，规范建设运营；促进部门协同，打破沟通壁垒；严格监督评估，确保项目质量；做好宣传推广与舆情应对，营造良好发展环境。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五、任务分工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依据《鄂尔多斯市停车场建设管理条例》，在公共停车场的监督管理工作中发挥主导作用，与各部门协同做好停车场相关工作。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（一）区城市管理局。</w:t>
      </w:r>
      <w:r>
        <w:rPr>
          <w:rFonts w:hint="eastAsia" w:ascii="仿宋_GB2312" w:hAnsi="仿宋_GB2312" w:eastAsia="仿宋_GB2312" w:cs="仿宋_GB2312"/>
          <w:sz w:val="32"/>
          <w:szCs w:val="32"/>
        </w:rPr>
        <w:t>负责停车场备案登记、日常监督管理及标线施划的指导工作。应当会同住房和城乡建设局、自然资源局、市场监督管理局、公安机关交通管理部门共同制定停车管理服务规范，建立协同管理和执法联动机制，组织开展停车场联合检查和规范治理活动，并依法查处违法行为；对建设和运营单位进行督查管理考核，确保停车场规范运营。</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（二）区国资委。</w:t>
      </w:r>
      <w:r>
        <w:rPr>
          <w:rFonts w:hint="eastAsia" w:ascii="仿宋_GB2312" w:hAnsi="仿宋_GB2312" w:eastAsia="仿宋_GB2312" w:cs="仿宋_GB2312"/>
          <w:sz w:val="32"/>
          <w:szCs w:val="32"/>
        </w:rPr>
        <w:t>负责监督国有资产保值增值，参与考核工作，保障国有资产在停车场建设与运营中的安全和效益。</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（三）区住建局。</w:t>
      </w:r>
      <w:r>
        <w:rPr>
          <w:rFonts w:hint="eastAsia" w:ascii="仿宋_GB2312" w:hAnsi="仿宋_GB2312" w:eastAsia="仿宋_GB2312" w:cs="仿宋_GB2312"/>
          <w:sz w:val="32"/>
          <w:szCs w:val="32"/>
        </w:rPr>
        <w:t>负责本行政区域的停车场建设管理工作，参与公共停车场专项规划和年度建设计划的编制，并组织相关部门对停车场建设项目以及附属设施开展竣工联合验收。</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（四）区交管大队。</w:t>
      </w:r>
      <w:r>
        <w:rPr>
          <w:rFonts w:hint="eastAsia" w:ascii="仿宋_GB2312" w:hAnsi="仿宋_GB2312" w:eastAsia="仿宋_GB2312" w:cs="仿宋_GB2312"/>
          <w:sz w:val="32"/>
          <w:szCs w:val="32"/>
        </w:rPr>
        <w:t>负责道路临时停车泊位的建设管理工作，结合区域停车供求状况、车辆通行条件和道路承载能力等因素，科学设置和调整道路临时停车泊位。在设置和调整道路临时停车泊位前，充分听取公众意见与建议，并向社会公布道路停车泊位的位置、准停时段等信息，建立统一的道路停车标志、标识。</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（五）区发改委。</w:t>
      </w:r>
      <w:r>
        <w:rPr>
          <w:rFonts w:hint="eastAsia" w:ascii="仿宋_GB2312" w:hAnsi="仿宋_GB2312" w:eastAsia="仿宋_GB2312" w:cs="仿宋_GB2312"/>
          <w:sz w:val="32"/>
          <w:szCs w:val="32"/>
        </w:rPr>
        <w:t>按照各自职责，协同做好停车场的规划、建设、使用和管理工作。在制定停车场相关收费政策及立项时，提供经济发展及政策导向方面的支持。</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（六）区财政局。</w:t>
      </w:r>
      <w:r>
        <w:rPr>
          <w:rFonts w:hint="eastAsia" w:ascii="仿宋_GB2312" w:hAnsi="仿宋_GB2312" w:eastAsia="仿宋_GB2312" w:cs="仿宋_GB2312"/>
          <w:sz w:val="32"/>
          <w:szCs w:val="32"/>
        </w:rPr>
        <w:t>保障公共停车场建设和管理的投入，将所需经费列入财政预算，并对相关资金的使用进行严格监管。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（七）区自然资源局。</w:t>
      </w:r>
      <w:r>
        <w:rPr>
          <w:rFonts w:hint="eastAsia" w:ascii="仿宋_GB2312" w:hAnsi="仿宋_GB2312" w:eastAsia="仿宋_GB2312" w:cs="仿宋_GB2312"/>
          <w:sz w:val="32"/>
          <w:szCs w:val="32"/>
        </w:rPr>
        <w:t xml:space="preserve">将停车场专项规划纳入城市国土空间规划，明确公共停车场规划审批条件、用地性质，在国土空间详细规划阶段确定公共停车场用地布局控制指标和建设要求，确保停车场建设符合城市整体规划布局。严格遵循建筑设计原则，依法依规确定公共停车场土地使用年限，科学编制供地计划，全方位保障公共停车场建设用地需求。同时，规范土地供后管理流程，强化用地全周期监督，确保土地资源合理高效利用。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（八）区市场监督管理局。</w:t>
      </w:r>
      <w:r>
        <w:rPr>
          <w:rFonts w:hint="eastAsia" w:ascii="仿宋_GB2312" w:hAnsi="仿宋_GB2312" w:eastAsia="仿宋_GB2312" w:cs="仿宋_GB2312"/>
          <w:sz w:val="32"/>
          <w:szCs w:val="32"/>
        </w:rPr>
        <w:t xml:space="preserve">建立健全以“双随机、一公开”为核心的事中事后监管机制，按计划对公共停车场开展常态化抽查。同步搭建投诉举报处理平台，及时响应并妥善解决各类诉求，切实维护消费者和经营者的合法权益。此外，重点加强停车场收费行为监管，确保收费标准严格符合相关规定，杜绝违规收费现象。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（九）区消防救援大队。</w:t>
      </w:r>
      <w:r>
        <w:rPr>
          <w:rFonts w:hint="eastAsia" w:ascii="仿宋_GB2312" w:hAnsi="仿宋_GB2312" w:eastAsia="仿宋_GB2312" w:cs="仿宋_GB2312"/>
          <w:sz w:val="32"/>
          <w:szCs w:val="32"/>
        </w:rPr>
        <w:t xml:space="preserve">负责指导停车场整体规划布局，确保其符合消防安全规范要求。同时，对消防设施的科学配置、合理放置及应急管理体系建设提供专业指导，全面提升停车场消防安全水平。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（十）智慧停车场运营单位。</w:t>
      </w:r>
      <w:r>
        <w:rPr>
          <w:rFonts w:hint="eastAsia" w:ascii="仿宋_GB2312" w:hAnsi="仿宋_GB2312" w:eastAsia="仿宋_GB2312" w:cs="仿宋_GB2312"/>
          <w:sz w:val="32"/>
          <w:szCs w:val="32"/>
        </w:rPr>
        <w:t xml:space="preserve">承担停车场日常收费、运营管理及改造升级工作，积极探索引入充电桩等增值服务，持续拓展停车场服务功能。通过设置智能停车引导系统，实时发布精准停车引导信息，提升停车服务体验。运营收益资金专项用于停车场设施维护、人员薪酬支付及相关系统建设，严格落实资金使用监管，确保资金使用规范、透明、高效。 </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六、建设内容</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（一）科学规划停车设施布局。</w:t>
      </w:r>
      <w:r>
        <w:rPr>
          <w:rFonts w:hint="eastAsia" w:ascii="仿宋_GB2312" w:hAnsi="仿宋_GB2312" w:eastAsia="仿宋_GB2312" w:cs="仿宋_GB2312"/>
          <w:sz w:val="32"/>
          <w:szCs w:val="32"/>
        </w:rPr>
        <w:t xml:space="preserve">秉持“应划尽划、科学合理”原则，充分结合市民停车实际需求与区域交通状况，重点针对商圈、集贸市场、学校、医院、居民小区等车流、人流密集区域，开展停车场布局专项评估。通过精准规划，有序推进一批公共停车泊位的新建或施划工作，切实缓解市民“停车难”问题。加大对市中心医院、呼能商业广场等重点区域现有公共停车场的升级改造力度，重新优化车位布局与出入口设计，改善停车场内部环境，提升车位使用效率，将有限车位资源精准分配给更有需求的人群，全面提升市民停车服务满意度。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（二）部署智能化管理设备体系。</w:t>
      </w:r>
      <w:r>
        <w:rPr>
          <w:rFonts w:hint="eastAsia" w:ascii="仿宋_GB2312" w:hAnsi="仿宋_GB2312" w:eastAsia="仿宋_GB2312" w:cs="仿宋_GB2312"/>
          <w:sz w:val="32"/>
          <w:szCs w:val="32"/>
        </w:rPr>
        <w:t xml:space="preserve">在公共区域停车场全面部署智能管理设备，构建视频全方位监控网络，实现停车场安全有序、高效智能运行。引入国内领先的智能化停车系统，配套安装智能道闸、车位检测器、车牌识别系统等先进设备，实现车辆自动识别、智能计费、精准车位引导等功能，大幅提升停车场管理效率与运营水平。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（三）构建信息化管理平台。</w:t>
      </w:r>
      <w:r>
        <w:rPr>
          <w:rFonts w:hint="eastAsia" w:ascii="仿宋_GB2312" w:hAnsi="仿宋_GB2312" w:eastAsia="仿宋_GB2312" w:cs="仿宋_GB2312"/>
          <w:sz w:val="32"/>
          <w:szCs w:val="32"/>
        </w:rPr>
        <w:t xml:space="preserve">搭建全区统一的智慧停车管理平台，整合全区车位资源，推动机关、企事业单位停车资源开放共享，实现车位信息实时发布、在线预订、智能导航等功能。同步开发微信小程序等移动端应用，通过大数据分析，深度挖掘停车高峰时段、车位周转率等关键信息，为城市交通规划优化与停车收费政策调整提供科学数据支撑，实现停车资源的动态化、精细化管理。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（四）全面提升停车服务管理水平。</w:t>
      </w:r>
      <w:r>
        <w:rPr>
          <w:rFonts w:hint="eastAsia" w:ascii="仿宋_GB2312" w:hAnsi="仿宋_GB2312" w:eastAsia="仿宋_GB2312" w:cs="仿宋_GB2312"/>
          <w:sz w:val="32"/>
          <w:szCs w:val="32"/>
        </w:rPr>
        <w:t xml:space="preserve">以智慧停车管理平台为核心，构建涵盖微信小程序、支付宝小程序、微信公众号等多元化渠道的便民服务体系。支持车辆ETC、微信支付、市民卡刷卡等多种便捷支付方式，实现无感停车、信用支付、电子发票开具、线上停车优惠办理等功能，全方位提升智慧停车服务的便捷性，显著提高车辆出入通行效率，为市民打造更加优质、高效的停车服务体验。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七、实施步骤 </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（一）前期准备阶段（2025年5月-2026年3月）</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依据领导小组制定的实施方案，细化工作目标任务，明确各阶段实施步骤与部门责任分工，强化部门间协同协作，确保各项筹备工作有序推进。同时，通过线上线下多渠道开展宣传动员工作，广泛向市民宣传智慧停车场建设的重要意义与积极作用，营造良好社会氛围，争取市民的理解与支持。 </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（二）项目建设阶段（2026年3月-2026年12月）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项目分三期稳步推进：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1.第一期（2026年6月底前）：完成7个智慧停车场试点建设（含鄂尔多斯市中心医院康巴什部），新增3315个智慧停车泊位，探索形成可复制、可推广的建设运营模式。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2.第二期（2026年9月底前）：启动并完成9个智慧停车场建设（含中蒙医院、国际会展中心），新增2890个车位，进一步扩大智慧停车服务覆盖范围。</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3.第三期（2026年12月底前）：完成10个智慧停车场建设（含园丁小区、蒙欣商业街），新增3880个车位，全面实现智慧停车体系在重点区域的全覆盖，显著改善城市停车环境。</w:t>
      </w:r>
    </w:p>
    <w:tbl>
      <w:tblPr>
        <w:tblStyle w:val="4"/>
        <w:tblW w:w="10045" w:type="dxa"/>
        <w:tblInd w:w="-144" w:type="dxa"/>
        <w:tblLayout w:type="fixed"/>
        <w:tblCellMar>
          <w:top w:w="0" w:type="dxa"/>
          <w:left w:w="108" w:type="dxa"/>
          <w:bottom w:w="0" w:type="dxa"/>
          <w:right w:w="108" w:type="dxa"/>
        </w:tblCellMar>
      </w:tblPr>
      <w:tblGrid>
        <w:gridCol w:w="799"/>
        <w:gridCol w:w="5036"/>
        <w:gridCol w:w="1789"/>
        <w:gridCol w:w="1553"/>
        <w:gridCol w:w="868"/>
      </w:tblGrid>
      <w:tr>
        <w:tblPrEx>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pPr>
              <w:widowControl/>
              <w:spacing w:line="560" w:lineRule="exact"/>
              <w:jc w:val="center"/>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b/>
                <w:bCs/>
                <w:color w:val="000000" w:themeColor="text1"/>
                <w:kern w:val="0"/>
                <w:sz w:val="32"/>
                <w:szCs w:val="32"/>
                <w:lang w:bidi="ar"/>
                <w14:textFill>
                  <w14:solidFill>
                    <w14:schemeClr w14:val="tx1"/>
                  </w14:solidFill>
                </w14:textFill>
              </w:rPr>
              <w:t>一期智慧停车场项目建设任务清单</w:t>
            </w:r>
          </w:p>
        </w:tc>
      </w:tr>
      <w:tr>
        <w:tblPrEx>
          <w:tblCellMar>
            <w:top w:w="0" w:type="dxa"/>
            <w:left w:w="108" w:type="dxa"/>
            <w:bottom w:w="0" w:type="dxa"/>
            <w:right w:w="108" w:type="dxa"/>
          </w:tblCellMar>
        </w:tblPrEx>
        <w:trPr>
          <w:trHeight w:val="1014"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备注</w:t>
            </w: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鄂尔多斯市中心医院停车场(试点)</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37600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959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呼能商业广场停车场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29300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665</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金辰国际商业广场（含菜市场）停车场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729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美食广场停车场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18000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509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鄂尔多斯图书馆西停车场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54</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文化艺术中心停车场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13800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309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68"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泰华锦江酒店停车场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4400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90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ind w:firstLine="560" w:firstLineChars="200"/>
              <w:jc w:val="center"/>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92500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ind w:firstLine="560" w:firstLineChars="200"/>
              <w:textAlignment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3315</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widowControl/>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pPr>
              <w:widowControl/>
              <w:spacing w:line="560" w:lineRule="exact"/>
              <w:jc w:val="center"/>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b/>
                <w:bCs/>
                <w:color w:val="000000" w:themeColor="text1"/>
                <w:kern w:val="0"/>
                <w:sz w:val="32"/>
                <w:szCs w:val="32"/>
                <w:lang w:bidi="ar"/>
                <w14:textFill>
                  <w14:solidFill>
                    <w14:schemeClr w14:val="tx1"/>
                  </w14:solidFill>
                </w14:textFill>
              </w:rPr>
              <w:t>二期智慧停车场项目建设任务清单</w:t>
            </w:r>
          </w:p>
        </w:tc>
      </w:tr>
      <w:tr>
        <w:tblPrEx>
          <w:tblCellMar>
            <w:top w:w="0" w:type="dxa"/>
            <w:left w:w="108" w:type="dxa"/>
            <w:bottom w:w="0" w:type="dxa"/>
            <w:right w:w="108" w:type="dxa"/>
          </w:tblCellMar>
        </w:tblPrEx>
        <w:trPr>
          <w:trHeight w:val="971"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备注</w:t>
            </w: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鄂尔多斯市中医医院停车场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320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鄂尔多斯市中蒙医院停车场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19000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240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国际会展中心停车场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鄂尔多斯博物馆停车场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鄂尔多斯大剧院停车场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泰华锦江酒店（步行街）停车场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220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信息大厦停车场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8</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万力A区（德荣超市周边）停车场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660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9</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博宇盛大广场周边停车场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17000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152000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2890</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pPr>
              <w:widowControl/>
              <w:spacing w:line="560" w:lineRule="exact"/>
              <w:jc w:val="center"/>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b/>
                <w:bCs/>
                <w:color w:val="000000" w:themeColor="text1"/>
                <w:kern w:val="0"/>
                <w:sz w:val="32"/>
                <w:szCs w:val="32"/>
                <w:lang w:bidi="ar"/>
                <w14:textFill>
                  <w14:solidFill>
                    <w14:schemeClr w14:val="tx1"/>
                  </w14:solidFill>
                </w14:textFill>
              </w:rPr>
              <w:t>三期智慧停车场项目建设任务清单</w:t>
            </w:r>
          </w:p>
        </w:tc>
      </w:tr>
      <w:tr>
        <w:tblPrEx>
          <w:tblCellMar>
            <w:top w:w="0" w:type="dxa"/>
            <w:left w:w="108" w:type="dxa"/>
            <w:bottom w:w="0" w:type="dxa"/>
            <w:right w:w="108" w:type="dxa"/>
          </w:tblCellMar>
        </w:tblPrEx>
        <w:trPr>
          <w:trHeight w:val="270"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黑体" w:hAnsi="黑体" w:eastAsia="黑体" w:cs="黑体"/>
                <w:b/>
                <w:bCs/>
                <w:color w:val="000000" w:themeColor="text1"/>
                <w:kern w:val="0"/>
                <w:sz w:val="28"/>
                <w:szCs w:val="28"/>
                <w:lang w:bidi="ar"/>
                <w14:textFill>
                  <w14:solidFill>
                    <w14:schemeClr w14:val="tx1"/>
                  </w14:solidFill>
                </w14:textFill>
              </w:rPr>
            </w:pPr>
            <w:r>
              <w:rPr>
                <w:rFonts w:hint="eastAsia" w:ascii="黑体" w:hAnsi="黑体" w:eastAsia="黑体" w:cs="黑体"/>
                <w:b/>
                <w:bCs/>
                <w:color w:val="000000" w:themeColor="text1"/>
                <w:kern w:val="0"/>
                <w:sz w:val="28"/>
                <w:szCs w:val="28"/>
                <w:lang w:bidi="ar"/>
                <w14:textFill>
                  <w14:solidFill>
                    <w14:schemeClr w14:val="tx1"/>
                  </w14:solidFill>
                </w14:textFill>
              </w:rPr>
              <w:t>备注</w:t>
            </w: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园丁小区南北区周边底商停车场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文澜雅筑南北区周边底商停车场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蒙欣商业步行街底商停车场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16000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康镇南侧停车场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婚礼文化园西侧停车场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体育公园停车场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神华小区周边底商停车场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19000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8</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爱拥公园周边底商停车场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40000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670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9</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湖区东西两侧停车场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8200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250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10</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百康桥（三号桥）大草坪停车场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500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r>
        <w:tblPrEx>
          <w:tblCellMar>
            <w:top w:w="0" w:type="dxa"/>
            <w:left w:w="108" w:type="dxa"/>
            <w:bottom w:w="0" w:type="dxa"/>
            <w:right w:w="108" w:type="dxa"/>
          </w:tblCellMar>
        </w:tblPrEx>
        <w:trPr>
          <w:trHeight w:val="285"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142700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color w:val="000000" w:themeColor="text1"/>
                <w:kern w:val="0"/>
                <w:sz w:val="28"/>
                <w:szCs w:val="28"/>
                <w:lang w:bidi="ar"/>
                <w14:textFill>
                  <w14:solidFill>
                    <w14:schemeClr w14:val="tx1"/>
                  </w14:solidFill>
                </w14:textFill>
              </w:rPr>
              <w:t>3880</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widowControl/>
              <w:spacing w:line="560" w:lineRule="exact"/>
              <w:jc w:val="center"/>
              <w:textAlignment w:val="center"/>
              <w:rPr>
                <w:rFonts w:ascii="仿宋_GB2312" w:hAnsi="仿宋_GB2312" w:eastAsia="仿宋_GB2312" w:cs="仿宋_GB2312"/>
                <w:color w:val="000000" w:themeColor="text1"/>
                <w:kern w:val="0"/>
                <w:sz w:val="28"/>
                <w:szCs w:val="28"/>
                <w:lang w:bidi="ar"/>
                <w14:textFill>
                  <w14:solidFill>
                    <w14:schemeClr w14:val="tx1"/>
                  </w14:solidFill>
                </w14:textFill>
              </w:rPr>
            </w:pPr>
          </w:p>
        </w:tc>
      </w:tr>
    </w:tbl>
    <w:p>
      <w:pPr>
        <w:spacing w:line="560" w:lineRule="exact"/>
        <w:ind w:firstLine="640" w:firstLineChars="200"/>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（三）延伸推广阶段（2027年起）</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逐步推进城区所有公共区域停车场实现智慧停车系统建设，扩大覆盖范围，实现全区多业态停车信息一体化。</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八、收费标准与公示</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（一）收费依据。</w:t>
      </w:r>
      <w:r>
        <w:rPr>
          <w:rFonts w:hint="eastAsia" w:ascii="仿宋_GB2312" w:hAnsi="仿宋_GB2312" w:eastAsia="仿宋_GB2312" w:cs="仿宋_GB2312"/>
          <w:color w:val="000000" w:themeColor="text1"/>
          <w:sz w:val="32"/>
          <w:szCs w:val="32"/>
          <w14:textFill>
            <w14:solidFill>
              <w14:schemeClr w14:val="tx1"/>
            </w14:solidFill>
          </w14:textFill>
        </w:rPr>
        <w:t>执行《内蒙古自治区机动车停放服务收费管理办法》（内发改价费字〔2021〕1067号）文件要求，实行差别化收费。</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（二）收费范围。</w:t>
      </w:r>
      <w:r>
        <w:rPr>
          <w:rFonts w:hint="eastAsia" w:ascii="仿宋_GB2312" w:hAnsi="仿宋_GB2312" w:eastAsia="仿宋_GB2312" w:cs="仿宋_GB2312"/>
          <w:color w:val="000000" w:themeColor="text1"/>
          <w:sz w:val="32"/>
          <w:szCs w:val="32"/>
          <w14:textFill>
            <w14:solidFill>
              <w14:schemeClr w14:val="tx1"/>
            </w14:solidFill>
          </w14:textFill>
        </w:rPr>
        <w:t>商圈、医院、学校等国有资金建设停车场及路内泊位。</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（三）公示要求。</w:t>
      </w:r>
      <w:r>
        <w:rPr>
          <w:rFonts w:hint="eastAsia" w:ascii="仿宋_GB2312" w:hAnsi="仿宋_GB2312" w:eastAsia="仿宋_GB2312" w:cs="仿宋_GB2312"/>
          <w:color w:val="000000" w:themeColor="text1"/>
          <w:sz w:val="32"/>
          <w:szCs w:val="32"/>
          <w14:textFill>
            <w14:solidFill>
              <w14:schemeClr w14:val="tx1"/>
            </w14:solidFill>
          </w14:textFill>
        </w:rPr>
        <w:t>在停车场出入口、政府网站、公众号等公示收费标准、区域类别，接受社会监督。公示期间广泛收集市民反馈的各类问题，及时回应并合理调整，不断完善停车服务收费管理。</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（四）收费参考标准（</w:t>
      </w:r>
      <w:r>
        <w:rPr>
          <w:rFonts w:hint="eastAsia" w:ascii="仿宋_GB2312" w:hAnsi="仿宋_GB2312" w:eastAsia="仿宋_GB2312" w:cs="仿宋_GB2312"/>
          <w:color w:val="000000" w:themeColor="text1"/>
          <w:sz w:val="32"/>
          <w:szCs w:val="32"/>
          <w14:textFill>
            <w14:solidFill>
              <w14:schemeClr w14:val="tx1"/>
            </w14:solidFill>
          </w14:textFill>
        </w:rPr>
        <w:t>详见下表</w:t>
      </w:r>
      <w:r>
        <w:rPr>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w:t>
      </w:r>
    </w:p>
    <w:tbl>
      <w:tblPr>
        <w:tblStyle w:val="4"/>
        <w:tblW w:w="9385" w:type="dxa"/>
        <w:tblInd w:w="0" w:type="dxa"/>
        <w:shd w:val="clear" w:color="auto" w:fill="FFFFFF"/>
        <w:tblLayout w:type="fixed"/>
        <w:tblCellMar>
          <w:top w:w="15" w:type="dxa"/>
          <w:left w:w="15" w:type="dxa"/>
          <w:bottom w:w="15" w:type="dxa"/>
          <w:right w:w="15" w:type="dxa"/>
        </w:tblCellMar>
      </w:tblPr>
      <w:tblGrid>
        <w:gridCol w:w="1556"/>
        <w:gridCol w:w="1104"/>
        <w:gridCol w:w="1298"/>
        <w:gridCol w:w="1271"/>
        <w:gridCol w:w="1851"/>
        <w:gridCol w:w="1114"/>
        <w:gridCol w:w="1191"/>
      </w:tblGrid>
      <w:tr>
        <w:tblPrEx>
          <w:shd w:val="clear" w:color="auto" w:fill="FFFFFF"/>
          <w:tblCellMar>
            <w:top w:w="15" w:type="dxa"/>
            <w:left w:w="15" w:type="dxa"/>
            <w:bottom w:w="15" w:type="dxa"/>
            <w:right w:w="15" w:type="dxa"/>
          </w:tblCellMar>
        </w:tblPrEx>
        <w:trPr>
          <w:trHeight w:val="436" w:hRule="atLeast"/>
          <w:tblHeader/>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kern w:val="0"/>
                <w:sz w:val="28"/>
                <w:szCs w:val="28"/>
                <w:lang w:bidi="ar"/>
              </w:rPr>
            </w:pPr>
            <w:r>
              <w:rPr>
                <w:rFonts w:hint="eastAsia" w:ascii="黑体" w:hAnsi="黑体" w:eastAsia="黑体" w:cs="黑体"/>
                <w:b/>
                <w:bCs/>
                <w:color w:val="000000"/>
                <w:kern w:val="0"/>
                <w:sz w:val="28"/>
                <w:szCs w:val="28"/>
                <w:lang w:bidi="ar"/>
              </w:rPr>
              <w:t>停车场</w:t>
            </w:r>
          </w:p>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位置</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停放类型</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计费时段</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免费时长</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超时计费标准</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单日封顶金额</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黑体" w:hAnsi="黑体" w:eastAsia="黑体" w:cs="黑体"/>
                <w:b/>
                <w:bCs/>
                <w:color w:val="000000"/>
                <w:sz w:val="28"/>
                <w:szCs w:val="28"/>
              </w:rPr>
            </w:pPr>
            <w:r>
              <w:rPr>
                <w:rFonts w:hint="eastAsia" w:ascii="黑体" w:hAnsi="黑体" w:eastAsia="黑体" w:cs="黑体"/>
                <w:b/>
                <w:bCs/>
                <w:color w:val="000000"/>
                <w:kern w:val="0"/>
                <w:sz w:val="28"/>
                <w:szCs w:val="28"/>
                <w:lang w:bidi="ar"/>
              </w:rPr>
              <w:t>其他说明</w:t>
            </w:r>
          </w:p>
        </w:tc>
      </w:tr>
      <w:tr>
        <w:tblPrEx>
          <w:shd w:val="clear" w:color="auto" w:fill="FFFFFF"/>
          <w:tblCellMar>
            <w:top w:w="15" w:type="dxa"/>
            <w:left w:w="15" w:type="dxa"/>
            <w:bottom w:w="15" w:type="dxa"/>
            <w:right w:w="15" w:type="dxa"/>
          </w:tblCellMar>
        </w:tblPrEx>
        <w:trPr>
          <w:trHeight w:val="2458" w:hRule="atLeast"/>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早7:00— 晚</w:t>
            </w:r>
            <w:r>
              <w:rPr>
                <w:rFonts w:ascii="仿宋_GB2312" w:hAnsi="仿宋_GB2312" w:eastAsia="仿宋_GB2312" w:cs="仿宋_GB2312"/>
                <w:color w:val="000000"/>
                <w:kern w:val="0"/>
                <w:sz w:val="24"/>
                <w:lang w:bidi="ar"/>
              </w:rPr>
              <w:t>9</w:t>
            </w:r>
            <w:r>
              <w:rPr>
                <w:rFonts w:hint="eastAsia" w:ascii="仿宋_GB2312" w:hAnsi="仿宋_GB2312" w:eastAsia="仿宋_GB2312" w:cs="仿宋_GB2312"/>
                <w:color w:val="000000"/>
                <w:kern w:val="0"/>
                <w:sz w:val="24"/>
                <w:lang w:bidi="ar"/>
              </w:rPr>
              <w:t>:00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每小时2元，超出30分钟按一小时计费</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w:t>
            </w:r>
          </w:p>
        </w:tc>
      </w:tr>
      <w:tr>
        <w:tblPrEx>
          <w:shd w:val="clear" w:color="auto" w:fill="FFFFFF"/>
          <w:tblCellMar>
            <w:top w:w="15" w:type="dxa"/>
            <w:left w:w="15" w:type="dxa"/>
            <w:bottom w:w="15" w:type="dxa"/>
            <w:right w:w="15" w:type="dxa"/>
          </w:tblCellMar>
        </w:tblPrEx>
        <w:trPr>
          <w:trHeight w:val="2387" w:hRule="atLeast"/>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晚</w:t>
            </w:r>
            <w:r>
              <w:rPr>
                <w:rFonts w:ascii="仿宋_GB2312" w:hAnsi="仿宋_GB2312" w:eastAsia="仿宋_GB2312" w:cs="仿宋_GB2312"/>
                <w:color w:val="000000"/>
                <w:kern w:val="0"/>
                <w:sz w:val="24"/>
                <w:lang w:bidi="ar"/>
              </w:rPr>
              <w:t>9</w:t>
            </w:r>
            <w:r>
              <w:rPr>
                <w:rFonts w:hint="eastAsia" w:ascii="仿宋_GB2312" w:hAnsi="仿宋_GB2312" w:eastAsia="仿宋_GB2312" w:cs="仿宋_GB2312"/>
                <w:color w:val="000000"/>
                <w:kern w:val="0"/>
                <w:sz w:val="24"/>
                <w:lang w:bidi="ar"/>
              </w:rPr>
              <w:t>:00—早7:00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每小时1元，超出30分钟按小时计费</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w:t>
            </w:r>
          </w:p>
        </w:tc>
      </w:tr>
      <w:tr>
        <w:tblPrEx>
          <w:shd w:val="clear" w:color="auto" w:fill="FFFFFF"/>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员工车辆</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全天</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提供单位证明可免费停放</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p>
        </w:tc>
      </w:tr>
      <w:tr>
        <w:tblPrEx>
          <w:shd w:val="clear" w:color="auto" w:fill="FFFFFF"/>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商业停车场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早7:00—晚</w:t>
            </w:r>
            <w:r>
              <w:rPr>
                <w:rFonts w:hint="eastAsia" w:ascii="仿宋_GB2312" w:hAnsi="仿宋_GB2312" w:eastAsia="仿宋_GB2312" w:cs="仿宋_GB2312"/>
                <w:color w:val="000000"/>
                <w:kern w:val="0"/>
                <w:sz w:val="24"/>
                <w:lang w:val="en-US" w:eastAsia="zh-CN" w:bidi="ar"/>
              </w:rPr>
              <w:t>9</w:t>
            </w:r>
            <w:r>
              <w:rPr>
                <w:rFonts w:hint="eastAsia" w:ascii="仿宋_GB2312" w:hAnsi="仿宋_GB2312" w:eastAsia="仿宋_GB2312" w:cs="仿宋_GB2312"/>
                <w:color w:val="000000"/>
                <w:kern w:val="0"/>
                <w:sz w:val="24"/>
                <w:lang w:bidi="ar"/>
              </w:rPr>
              <w:t>:00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按实际停放时长计费（未提及具体单价）</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计费时段外不计费</w:t>
            </w:r>
          </w:p>
        </w:tc>
      </w:tr>
      <w:tr>
        <w:tblPrEx>
          <w:shd w:val="clear" w:color="auto" w:fill="FFFFFF"/>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商业停车场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其他车辆（未提及假设同临时车）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早7:00— 晚</w:t>
            </w:r>
            <w:r>
              <w:rPr>
                <w:rFonts w:hint="eastAsia" w:ascii="仿宋_GB2312" w:hAnsi="仿宋_GB2312" w:eastAsia="仿宋_GB2312" w:cs="仿宋_GB2312"/>
                <w:color w:val="000000"/>
                <w:kern w:val="0"/>
                <w:sz w:val="24"/>
                <w:lang w:val="en-US" w:eastAsia="zh-CN" w:bidi="ar"/>
              </w:rPr>
              <w:t>9</w:t>
            </w:r>
            <w:r>
              <w:rPr>
                <w:rFonts w:hint="eastAsia" w:ascii="仿宋_GB2312" w:hAnsi="仿宋_GB2312" w:eastAsia="仿宋_GB2312" w:cs="仿宋_GB2312"/>
                <w:color w:val="000000"/>
                <w:kern w:val="0"/>
                <w:sz w:val="24"/>
                <w:lang w:bidi="ar"/>
              </w:rPr>
              <w:t>:00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按实际停放时长计费（未提及具体单价）</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pPr>
              <w:widowControl/>
              <w:spacing w:line="56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计费时段外不计费</w:t>
            </w:r>
          </w:p>
        </w:tc>
      </w:tr>
    </w:tbl>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九、资金预算与运营管理</w:t>
      </w:r>
      <w:r>
        <w:rPr>
          <w:rFonts w:hint="eastAsia" w:ascii="仿宋_GB2312" w:hAnsi="仿宋_GB2312" w:eastAsia="仿宋_GB2312" w:cs="仿宋_GB2312"/>
          <w:color w:val="000000"/>
          <w:kern w:val="0"/>
          <w:sz w:val="32"/>
          <w:szCs w:val="32"/>
          <w:lang w:bidi="ar"/>
        </w:rPr>
        <w:t xml:space="preserve"> </w:t>
      </w:r>
    </w:p>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（一）资金筹措机制。</w:t>
      </w:r>
      <w:r>
        <w:rPr>
          <w:rFonts w:hint="eastAsia" w:ascii="仿宋_GB2312" w:hAnsi="仿宋_GB2312" w:eastAsia="仿宋_GB2312" w:cs="仿宋_GB2312"/>
          <w:color w:val="000000"/>
          <w:kern w:val="0"/>
          <w:sz w:val="32"/>
          <w:szCs w:val="32"/>
          <w:lang w:bidi="ar"/>
        </w:rPr>
        <w:t xml:space="preserve">项目资金采用运营方自筹模式，严格遵循“谁经营、谁投资”的市场化原则，同时兼顾“微利公益”属性，在保障项目经济效益的基础上，强化公共服务功能，确保项目具备可持续发展能力，为城市停车服务提供长期稳定支撑。 </w:t>
      </w:r>
    </w:p>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（二）运营管理模式。</w:t>
      </w:r>
      <w:r>
        <w:rPr>
          <w:rFonts w:hint="eastAsia" w:ascii="仿宋_GB2312" w:hAnsi="仿宋_GB2312" w:eastAsia="仿宋_GB2312" w:cs="仿宋_GB2312"/>
          <w:color w:val="000000"/>
          <w:kern w:val="0"/>
          <w:sz w:val="32"/>
          <w:szCs w:val="32"/>
          <w:lang w:bidi="ar"/>
        </w:rPr>
        <w:t xml:space="preserve">实行专业化、集约化管理，委托国有全资企业作为统一运营主体，全面负责停车场运营管理工作。运营收入专项用于停车场日常运营维护，包括路面修复、绿化带养护、设施设备检修等硬件维护，以及监控管理、收费服务等人员薪酬支出。通过规范资金使用流程，建立透明的财务监管机制，切实保障停车场持续稳定运营，不断提升服务质量与管理水平。 </w:t>
      </w:r>
    </w:p>
    <w:p>
      <w:pPr>
        <w:widowControl/>
        <w:spacing w:line="560" w:lineRule="exact"/>
        <w:ind w:firstLine="640" w:firstLineChars="200"/>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十、工作要求 </w:t>
      </w:r>
    </w:p>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（一）强化组织统筹协调。</w:t>
      </w:r>
      <w:r>
        <w:rPr>
          <w:rFonts w:hint="eastAsia" w:ascii="仿宋_GB2312" w:hAnsi="仿宋_GB2312" w:eastAsia="仿宋_GB2312" w:cs="仿宋_GB2312"/>
          <w:color w:val="000000"/>
          <w:kern w:val="0"/>
          <w:sz w:val="32"/>
          <w:szCs w:val="32"/>
          <w:lang w:bidi="ar"/>
        </w:rPr>
        <w:t xml:space="preserve">充分发挥领导小组的统筹领导作用，全面负责全区停车资源开发利用的整体规划与战略布局，协调解决智慧停车平台建设过程中的重大问题与关键难点，确保项目建设高效有序推进。各成员单位需提高政治站位，严格落实责任分工，加强部门间协同联动，形成上下贯通、齐抓共管的工作合力，为项目实施提供坚实组织保障。 </w:t>
      </w:r>
    </w:p>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（二）深化宣传推广引导。</w:t>
      </w:r>
      <w:r>
        <w:rPr>
          <w:rFonts w:hint="eastAsia" w:ascii="仿宋_GB2312" w:hAnsi="仿宋_GB2312" w:eastAsia="仿宋_GB2312" w:cs="仿宋_GB2312"/>
          <w:color w:val="000000"/>
          <w:kern w:val="0"/>
          <w:sz w:val="32"/>
          <w:szCs w:val="32"/>
          <w:lang w:bidi="ar"/>
        </w:rPr>
        <w:t xml:space="preserve">构建全方位、多层次的宣传体系，通过电视、报纸、新媒体等多元化渠道，及时发布智慧停车建设动态，深入总结推广典型经验案例，营造全社会关注、支持智慧停车建设的良好舆论氛围。加强公众宣传教育，通过政策解读、文明停车倡议等活动，提升市民对智慧停车管理的认知度与参与度，引导市民树立“停车付费”的契约意识和“顺向有序停车”的文明理念，共同维护良好停车秩序。 </w:t>
      </w:r>
    </w:p>
    <w:p>
      <w:pPr>
        <w:widowControl/>
        <w:spacing w:line="560" w:lineRule="exact"/>
        <w:ind w:firstLine="640" w:firstLineChars="200"/>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（三）严格全流程监督管理。</w:t>
      </w:r>
      <w:r>
        <w:rPr>
          <w:rFonts w:hint="eastAsia" w:ascii="仿宋_GB2312" w:hAnsi="仿宋_GB2312" w:eastAsia="仿宋_GB2312" w:cs="仿宋_GB2312"/>
          <w:color w:val="000000"/>
          <w:kern w:val="0"/>
          <w:sz w:val="32"/>
          <w:szCs w:val="32"/>
          <w:lang w:bidi="ar"/>
        </w:rPr>
        <w:t xml:space="preserve">建立健全常态化监督检查机制，对本方案落实情况开展定期督查与不定期抽查，确保责任落实到位、任务执行到位。聚焦停车场建设、运营、收费等关键环节，强化全过程监管，严厉打击违规建设、乱收费、服务不到位等违法违规行为，维护公平有序的市场环境，切实保障市民合法权益。 </w:t>
      </w:r>
    </w:p>
    <w:p>
      <w:pPr>
        <w:widowControl/>
        <w:spacing w:line="560" w:lineRule="exact"/>
        <w:ind w:firstLine="640" w:firstLineChars="200"/>
      </w:pPr>
      <w:r>
        <w:rPr>
          <w:rFonts w:hint="eastAsia" w:ascii="楷体_GB2312" w:hAnsi="楷体_GB2312" w:eastAsia="楷体_GB2312" w:cs="楷体_GB2312"/>
          <w:color w:val="000000"/>
          <w:kern w:val="0"/>
          <w:sz w:val="32"/>
          <w:szCs w:val="32"/>
          <w:lang w:bidi="ar"/>
        </w:rPr>
        <w:t>（四）筑牢数据安全防线。</w:t>
      </w:r>
      <w:r>
        <w:rPr>
          <w:rFonts w:hint="eastAsia" w:ascii="仿宋_GB2312" w:hAnsi="仿宋_GB2312" w:eastAsia="仿宋_GB2312" w:cs="仿宋_GB2312"/>
          <w:color w:val="000000"/>
          <w:kern w:val="0"/>
          <w:sz w:val="32"/>
          <w:szCs w:val="32"/>
          <w:lang w:bidi="ar"/>
        </w:rPr>
        <w:t>严格遵循GB/T22239—2019《信息安全网络安全等级保护基本要求》，构建全方位、立体化的智慧停车管理系统信息安全防护体系。针对系统物理环境、网络边界、主机设备、终端设施、应用程序及数据存储等关键环节，制定并落实针对性安全防护措施，定期开展安全评估与风险排查，及时修复安全漏洞，确保系统安全稳定运行，有效保护用户隐私与数据安全。</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hMTkxYjQ4NTg2MDgxZGMzNWYwNmRkYmMyOTcwMTAifQ=="/>
  </w:docVars>
  <w:rsids>
    <w:rsidRoot w:val="23D90363"/>
    <w:rsid w:val="00053503"/>
    <w:rsid w:val="003C601B"/>
    <w:rsid w:val="00982C2A"/>
    <w:rsid w:val="0DF41E25"/>
    <w:rsid w:val="1BF77924"/>
    <w:rsid w:val="23D90363"/>
    <w:rsid w:val="299F779B"/>
    <w:rsid w:val="3B760507"/>
    <w:rsid w:val="3C05725F"/>
    <w:rsid w:val="5BEF1728"/>
    <w:rsid w:val="63235F4B"/>
    <w:rsid w:val="6DE42027"/>
    <w:rsid w:val="74FCABDD"/>
    <w:rsid w:val="ABDDFD5D"/>
    <w:rsid w:val="DF7CE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927</Words>
  <Characters>5289</Characters>
  <Lines>44</Lines>
  <Paragraphs>12</Paragraphs>
  <TotalTime>6</TotalTime>
  <ScaleCrop>false</ScaleCrop>
  <LinksUpToDate>false</LinksUpToDate>
  <CharactersWithSpaces>6204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2025-06-04T08:54:00Z</dcterms:created>
  <dc:creator>乔伟</dc:creator>
  <cp:lastModifiedBy>一</cp:lastModifiedBy>
  <dcterms:modified xsi:type="dcterms:W3CDTF">2026-01-28T02:43:00Z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E14EFB08E4D149EDA39CE5EB9C4EA22D_13</vt:lpwstr>
  </property>
</Properties>
</file>