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4C801">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康巴什区智慧停车场项目建设及收费管理</w:t>
      </w:r>
    </w:p>
    <w:p w14:paraId="361F9F04">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实施方案（讨论稿）</w:t>
      </w:r>
    </w:p>
    <w:p w14:paraId="0660AFAD">
      <w:pPr>
        <w:keepNext w:val="0"/>
        <w:keepLines w:val="0"/>
        <w:pageBreakBefore w:val="0"/>
        <w:kinsoku/>
        <w:wordWrap/>
        <w:overflowPunct/>
        <w:topLinePunct w:val="0"/>
        <w:autoSpaceDE/>
        <w:autoSpaceDN/>
        <w:bidi w:val="0"/>
        <w:adjustRightInd/>
        <w:snapToGrid/>
        <w:spacing w:line="560" w:lineRule="exact"/>
        <w:rPr>
          <w:rFonts w:hint="eastAsia"/>
        </w:rPr>
      </w:pPr>
      <w:r>
        <w:rPr>
          <w:rFonts w:hint="eastAsia"/>
        </w:rPr>
        <w:t xml:space="preserve"> </w:t>
      </w:r>
    </w:p>
    <w:p w14:paraId="120EEE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随着城市的快速发展以及机动车保有量的持续攀升，康巴什区“停车难、停车乱”等问题日益突出，</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城市交通秩序和市民生活质量带来了严重影响。依据《内蒙古自治区</w:t>
      </w:r>
      <w:r>
        <w:rPr>
          <w:rFonts w:hint="eastAsia" w:ascii="仿宋_GB2312" w:hAnsi="仿宋_GB2312" w:eastAsia="仿宋_GB2312" w:cs="仿宋_GB2312"/>
          <w:sz w:val="32"/>
          <w:szCs w:val="32"/>
          <w:lang w:eastAsia="zh-CN"/>
        </w:rPr>
        <w:t>城市</w:t>
      </w:r>
      <w:r>
        <w:rPr>
          <w:rFonts w:hint="eastAsia" w:ascii="仿宋_GB2312" w:hAnsi="仿宋_GB2312" w:eastAsia="仿宋_GB2312" w:cs="仿宋_GB2312"/>
          <w:sz w:val="32"/>
          <w:szCs w:val="32"/>
        </w:rPr>
        <w:t xml:space="preserve">公共停车场管理办法》（内建管〔2021〕257号）（2022年）以及《鄂尔多斯市停车场建设管理条例》（2025年3月1日施行）等相关规定，为有效整合利用全区停车资源，提升道路通行能力，提高城市治理服务水平，特制定本实施方案。 </w:t>
      </w:r>
    </w:p>
    <w:p w14:paraId="06E71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一、实施背景及必要性 </w:t>
      </w:r>
    </w:p>
    <w:p w14:paraId="7D0420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2025年，康巴什区第二届委员会第九次全体会议暨全区经济工作会议明确提出要建设美丽暖城示范区，致力于提高城市品质，完善城市功能，打造现代化宜居宜业的中心城区。然而，当前中心城区公共区域的停车设施建设相对滞后，停车位供给严重不足，“停车难、市政设施破损”等问题日益凸显，不仅影响了市容秩序和市民的日常出行，也对城市的可持续发展形成了制约。目前，全区停车场管理存在信息化程度低、资源利用不充分等问题，导致停车资源严重浪费。通过建设智慧停车场，运用信息化手段优化停车资源管理，能够显著提升停车场管理效率，充分发挥停车场资源价值，有效解决就近停车难、找车位难等问题。 </w:t>
      </w:r>
    </w:p>
    <w:p w14:paraId="135B52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指导思想</w:t>
      </w:r>
    </w:p>
    <w:p w14:paraId="4D35C2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坚持以习近平新时代中国特色社会主义思想为指引，牢固树立以人民为中心的发展理念，顺应智慧城市建设新趋势和人民群众新期待。以提高城市停车资源集约利用效率、缓解供需矛盾为切入点，优化停车设施供给结构，借助大数据、物联网和5G技术实现效率支付，构建布局合理、供给充足、智能高效、便捷可及的智能城市停车泊位管理系统，推动停车产业与互联网融合发展，有效满足市场主体和市民合理的停车需求，为现代城市发展提供有力支撑。 </w:t>
      </w:r>
    </w:p>
    <w:p w14:paraId="5B2E2B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三、基本原则 </w:t>
      </w:r>
    </w:p>
    <w:p w14:paraId="4986A2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根据《鄂尔多斯市停车场建设管理条例》，公共停车场是指在城市道路外，供社会公众停放车辆的场所，包括独立建设的公共停车场和建筑物配建的作为公共服务设施的公共停车场。 </w:t>
      </w:r>
    </w:p>
    <w:p w14:paraId="03BDB4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合理规划，分步实施</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全面统筹全区现有的城区停车泊位资源，结合城市功能布局和交通流量状况，科学规划停车场建设。建立智慧停车管理与运营管理组织架构，依据统一规划和规范，分区域、分阶段组织实施建设工作。</w:t>
      </w:r>
    </w:p>
    <w:p w14:paraId="0B4F8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规范管理，便民利民</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实行“中心区域高于非中心、干道高于支路、高峰高于平峰”的收费原则，引导车辆合理分流，提高停车资源利用效率。优化服务流程，支持移动支付、效率支付等便捷缴费方式，为市民提供更加便捷、高效的停车服务体验。 </w:t>
      </w:r>
    </w:p>
    <w:p w14:paraId="336A2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四、组织领导</w:t>
      </w:r>
      <w:r>
        <w:rPr>
          <w:rFonts w:hint="eastAsia" w:ascii="仿宋_GB2312" w:hAnsi="仿宋_GB2312" w:eastAsia="仿宋_GB2312" w:cs="仿宋_GB2312"/>
          <w:sz w:val="32"/>
          <w:szCs w:val="32"/>
        </w:rPr>
        <w:t xml:space="preserve"> </w:t>
      </w:r>
    </w:p>
    <w:p w14:paraId="3E1981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为保障康巴什区智慧停车场项目建设及收费管理工作的顺利推进，成立专项工作领导小组，全面统筹协调各相关部门，明确职责分工，确保项目各环节有序开展。成立智慧停车场建设工作领导小组（以下简称领导小组），成员如下： </w:t>
      </w:r>
    </w:p>
    <w:p w14:paraId="432AA4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eastAsia="zh-CN"/>
        </w:rPr>
        <w:t>方立妍</w:t>
      </w:r>
      <w:r>
        <w:rPr>
          <w:rFonts w:hint="eastAsia" w:ascii="仿宋_GB2312" w:hAnsi="仿宋_GB2312" w:eastAsia="仿宋_GB2312" w:cs="仿宋_GB2312"/>
          <w:sz w:val="32"/>
          <w:szCs w:val="32"/>
          <w:lang w:val="en-US" w:eastAsia="zh-CN"/>
        </w:rPr>
        <w:t>区长</w:t>
      </w:r>
    </w:p>
    <w:p w14:paraId="5611C7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sz w:val="32"/>
          <w:szCs w:val="32"/>
          <w:lang w:val="en-US" w:eastAsia="zh-CN"/>
        </w:rPr>
        <w:t>王瑞祥</w:t>
      </w:r>
      <w:r>
        <w:rPr>
          <w:rFonts w:hint="eastAsia" w:ascii="仿宋_GB2312" w:hAnsi="仿宋_GB2312" w:eastAsia="仿宋_GB2312" w:cs="仿宋_GB2312"/>
          <w:sz w:val="32"/>
          <w:szCs w:val="32"/>
        </w:rPr>
        <w:t>副区长</w:t>
      </w:r>
    </w:p>
    <w:p w14:paraId="27B3EE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成</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val="en-US" w:eastAsia="zh-CN"/>
        </w:rPr>
        <w:t>区城市管理局、区国资委、区住建局、区交管大队、</w:t>
      </w:r>
      <w:r>
        <w:rPr>
          <w:rFonts w:hint="eastAsia" w:ascii="仿宋_GB2312" w:hAnsi="仿宋_GB2312" w:eastAsia="仿宋_GB2312" w:cs="仿宋_GB2312"/>
          <w:sz w:val="32"/>
          <w:szCs w:val="32"/>
        </w:rPr>
        <w:t>区发改委、区财政局、区自然资源局、区市场监督局、区消防救援大队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智慧停车场运营单位</w:t>
      </w:r>
      <w:r>
        <w:rPr>
          <w:rFonts w:hint="eastAsia" w:ascii="仿宋_GB2312" w:hAnsi="仿宋_GB2312" w:eastAsia="仿宋_GB2312" w:cs="仿宋_GB2312"/>
          <w:sz w:val="32"/>
          <w:szCs w:val="32"/>
          <w:lang w:eastAsia="zh-CN"/>
        </w:rPr>
        <w:t>。</w:t>
      </w:r>
    </w:p>
    <w:p w14:paraId="688219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领导小组职责：</w:t>
      </w:r>
      <w:r>
        <w:rPr>
          <w:rFonts w:hint="eastAsia" w:ascii="仿宋_GB2312" w:hAnsi="仿宋_GB2312" w:eastAsia="仿宋_GB2312" w:cs="仿宋_GB2312"/>
          <w:sz w:val="32"/>
          <w:szCs w:val="32"/>
          <w:lang w:val="en-US" w:eastAsia="zh-CN"/>
        </w:rPr>
        <w:t>领导小组下设办公室，办公室设在区城市管理局，办公室主任由刘新宽同志兼任。领导小组</w:t>
      </w:r>
      <w:r>
        <w:rPr>
          <w:rFonts w:hint="eastAsia" w:ascii="仿宋_GB2312" w:hAnsi="仿宋_GB2312" w:eastAsia="仿宋_GB2312" w:cs="仿宋_GB2312"/>
          <w:sz w:val="32"/>
          <w:szCs w:val="32"/>
        </w:rPr>
        <w:t xml:space="preserve">负责项目战略规划与决策，精准把控建设方向；协调各方资源，保障项目稳步推进；制定并落实相关政策，规范建设运营；促进部门协同，打破沟通壁垒；严格监督评估，确保项目质量；做好宣传推广与舆情应对，营造良好发展环境。 </w:t>
      </w:r>
    </w:p>
    <w:p w14:paraId="69FDA6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五、任务分工 </w:t>
      </w:r>
    </w:p>
    <w:p w14:paraId="0A0C8D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依据《鄂尔多斯市停车场建设管理条例》，在公共停车场的监督管理工作中发挥主导作用，与各部门协同做好停车场相关工作。 </w:t>
      </w:r>
    </w:p>
    <w:p w14:paraId="7E59CC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）区城市管理局。</w:t>
      </w:r>
      <w:r>
        <w:rPr>
          <w:rFonts w:hint="eastAsia" w:ascii="仿宋_GB2312" w:hAnsi="仿宋_GB2312" w:eastAsia="仿宋_GB2312" w:cs="仿宋_GB2312"/>
          <w:sz w:val="32"/>
          <w:szCs w:val="32"/>
        </w:rPr>
        <w:t>负责停车场备案登记、日常监督管理及标线施划的指导工作。应当会同住房和城乡建设局、自然资源局、市场监督管理局、公安机关交通管理部门共同制定停车管理服务规范，建立协同管理和执法联动机制，组织开展停车场联合检查和规范治理活动，并依法查处违法行为；对建设和运营单位进行督查管理考核，确保停车场规范运营。</w:t>
      </w:r>
    </w:p>
    <w:p w14:paraId="111E23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）区国资委。</w:t>
      </w:r>
      <w:r>
        <w:rPr>
          <w:rFonts w:hint="eastAsia" w:ascii="仿宋_GB2312" w:hAnsi="仿宋_GB2312" w:eastAsia="仿宋_GB2312" w:cs="仿宋_GB2312"/>
          <w:sz w:val="32"/>
          <w:szCs w:val="32"/>
        </w:rPr>
        <w:t>负责监督国有资产保值增值，参与考核工作，保障国有资产在停车场建设与运营中的安全和效益。</w:t>
      </w:r>
    </w:p>
    <w:p w14:paraId="7FE694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）区住建局。</w:t>
      </w:r>
      <w:r>
        <w:rPr>
          <w:rFonts w:hint="eastAsia" w:ascii="仿宋_GB2312" w:hAnsi="仿宋_GB2312" w:eastAsia="仿宋_GB2312" w:cs="仿宋_GB2312"/>
          <w:sz w:val="32"/>
          <w:szCs w:val="32"/>
        </w:rPr>
        <w:t>负责本行政区域的停车场建设管理工作，参与公共停车场专项规划和年度建设计划的编制，并组织相关部门对停车场建设项目以及附属设施开展竣工联合验收。</w:t>
      </w:r>
    </w:p>
    <w:p w14:paraId="2B7C92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区交管大队</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负责道路临时停车泊位的建设管理工作，结合区域停车供求状况、车辆通行条件和道路承载能力等因素，科学设置和调整道路临时停车泊位。在设置和调整道路临时停车泊位前，充分听取公众意见与建议，并向社会公布道路停车泊位的位置、准停时段等信息，建立统一的道路停车标志、标识。</w:t>
      </w:r>
    </w:p>
    <w:p w14:paraId="3B0C13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lang w:eastAsia="zh-CN"/>
        </w:rPr>
        <w:t>发改</w:t>
      </w:r>
      <w:r>
        <w:rPr>
          <w:rFonts w:hint="eastAsia" w:ascii="楷体_GB2312" w:hAnsi="楷体_GB2312" w:eastAsia="楷体_GB2312" w:cs="楷体_GB2312"/>
          <w:sz w:val="32"/>
          <w:szCs w:val="32"/>
          <w:lang w:val="en-US" w:eastAsia="zh-CN"/>
        </w:rPr>
        <w:t>委</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按照各自职责，协同做好停车场的规划、建设、使用和管理工作。在制定停车场相关收费政策及立项时，提供经济发展及政策导向方面的支持。</w:t>
      </w:r>
    </w:p>
    <w:p w14:paraId="58EDF8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lang w:eastAsia="zh-CN"/>
        </w:rPr>
        <w:t>财政</w:t>
      </w:r>
      <w:r>
        <w:rPr>
          <w:rFonts w:hint="eastAsia" w:ascii="楷体_GB2312" w:hAnsi="楷体_GB2312" w:eastAsia="楷体_GB2312" w:cs="楷体_GB2312"/>
          <w:sz w:val="32"/>
          <w:szCs w:val="32"/>
          <w:lang w:val="en-US" w:eastAsia="zh-CN"/>
        </w:rPr>
        <w:t>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保障公共停车场建设和管理的投入，将所需经费列入财政预算，并对相关资金的使用进行严格监管。</w:t>
      </w:r>
    </w:p>
    <w:p w14:paraId="0A8F85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自然资源</w:t>
      </w:r>
      <w:r>
        <w:rPr>
          <w:rFonts w:hint="eastAsia" w:ascii="楷体_GB2312" w:hAnsi="楷体_GB2312" w:eastAsia="楷体_GB2312" w:cs="楷体_GB2312"/>
          <w:sz w:val="32"/>
          <w:szCs w:val="32"/>
          <w:lang w:val="en-US" w:eastAsia="zh-CN"/>
        </w:rPr>
        <w:t>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将停车场专项规划纳入城市国土空间规划，明确公共停车场规划审批条件、用地性质，在国土空间详细规划阶段确定公共停车场用地布局控制指标和建设要求，确保停车场建设符合城市整体规划布局。严格遵循建筑设计原则，依法依规确定公共停车场土地使用年限，科学编制供地计划，全方位保障公共停车场建设用地需求。同时，规范土地供后管理流程，强化用地全周期监督，确保土地资源合理高效利用。 </w:t>
      </w:r>
    </w:p>
    <w:p w14:paraId="1C27E8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（八）</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rPr>
        <w:t>市场监督管理</w:t>
      </w:r>
      <w:r>
        <w:rPr>
          <w:rFonts w:hint="eastAsia" w:ascii="楷体_GB2312" w:hAnsi="楷体_GB2312" w:eastAsia="楷体_GB2312" w:cs="楷体_GB2312"/>
          <w:sz w:val="32"/>
          <w:szCs w:val="32"/>
          <w:lang w:val="en-US" w:eastAsia="zh-CN"/>
        </w:rPr>
        <w:t>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建立健全以“双随机、一公开”为核心的事中事后监管机制，按计划对公共停车场开展常态化抽查。同步搭建投诉举报处理平台，及时响应并妥善解决各类诉求，切实维护消费者和经营者的合法权益。此外，重点加强停车场收费行为监管，确保收费标准严格符合相关规定，杜绝违规收费现象。 </w:t>
      </w:r>
    </w:p>
    <w:p w14:paraId="18B38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（九）区消防救援大队</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负责指导停车场整体规划布局，确保其符合消防安全规范要求。同时，对消防设施的科学配置、合理放置及应急管理体系建设提供专业指导，全面提升停车场消防安全水平。 </w:t>
      </w:r>
    </w:p>
    <w:p w14:paraId="0B0C65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（十）智慧停车场运营单位</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承担停车场日常收费、运营管理及改造升级工作，积极探索引入充电桩等增值服务，持续拓展停车场服务功能。通过设置智能停车引导系统，实时发布精准停车引导信息，提升停车服务体验。运营收益资金专项用于停车场设施维护、人员薪酬支付及相关系统建设，严格落实资金使用监管，确保资金使用规范、透明、高效。 </w:t>
      </w:r>
    </w:p>
    <w:p w14:paraId="7C3E15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六、建设内容</w:t>
      </w:r>
      <w:r>
        <w:rPr>
          <w:rFonts w:hint="eastAsia" w:ascii="仿宋_GB2312" w:hAnsi="仿宋_GB2312" w:eastAsia="仿宋_GB2312" w:cs="仿宋_GB2312"/>
          <w:sz w:val="32"/>
          <w:szCs w:val="32"/>
        </w:rPr>
        <w:t xml:space="preserve"> </w:t>
      </w:r>
    </w:p>
    <w:p w14:paraId="1EDDDD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（一）科学规划停车设施布局</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秉持“应划尽划、科学合理”原则，充分结合市民停车实际需求与区域交通状况，重点针对商圈、集贸市场、学校、医院、居民小区等车流、人流密集区域，开展停车场布局专项评估。通过精准规划，有序推进一批公共停车泊位的新建或施划工作，切实缓解市民“停车难”问题。加大对市中心医院、呼能商业广场等重点区域现有公共停车场的升级改造力度，重新优化车位布局与出入口设计，改善停车场内部环境，提升车位使用效率，将有限车位资源精准分配给更有需求的人群，全面提升市民停车服务满意度。 </w:t>
      </w:r>
    </w:p>
    <w:p w14:paraId="13987D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（二）部署智能化管理设备体系</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在公共区域停车场全面部署智能管理设备，构建视频全方位监控网络，实现停车场安全有序、高效智能运行。引入国内领先的智能化停车系统，配套安装智能道闸、车位检测器、车牌识别系统等先进设备，实现车辆自动识别、智能计费、精准车位引导等功能，大幅提升停车场管理效率与运营水平。 </w:t>
      </w:r>
    </w:p>
    <w:p w14:paraId="450A76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（三）构建信息化管理平台</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搭建全区统一的智慧停车管理平台，整合全区车位资源，推动机关、企事业单位停车资源开放共享，实现车位信息实时发布、在线预订、智能导航等功能。同步开发微信小程序等移动端应用，通过大数据分析，深度挖掘停车高峰时段、车位周转率等关键信息，为城市交通规划优化与停车收费政策调整提供科学数据支撑，实现停车资源的动态化、精细化管理。 </w:t>
      </w:r>
    </w:p>
    <w:p w14:paraId="17F2F9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（四）全面提升停车服务管理水平</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 xml:space="preserve">以智慧停车管理平台为核心，构建涵盖微信小程序、支付宝小程序、微信公众号等多元化渠道的便民服务体系。支持车辆ETC、微信支付、市民卡刷卡等多种便捷支付方式，实现无感停车、信用支付、电子发票开具、线上停车优惠办理等功能，全方位提升智慧停车服务的便捷性，显著提高车辆出入通行效率，为市民打造更加优质、高效的停车服务体验。 </w:t>
      </w:r>
    </w:p>
    <w:p w14:paraId="423F19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七、实施步骤 </w:t>
      </w:r>
    </w:p>
    <w:p w14:paraId="3F48B6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（一）前期准备阶段（2025年5月-</w:t>
      </w:r>
      <w:r>
        <w:rPr>
          <w:rFonts w:hint="eastAsia" w:ascii="楷体_GB2312" w:hAnsi="楷体_GB2312" w:eastAsia="楷体_GB2312" w:cs="楷体_GB2312"/>
          <w:sz w:val="32"/>
          <w:szCs w:val="32"/>
          <w:lang w:val="en-US" w:eastAsia="zh-CN"/>
        </w:rPr>
        <w:t>2026年3</w:t>
      </w:r>
      <w:r>
        <w:rPr>
          <w:rFonts w:hint="eastAsia" w:ascii="楷体_GB2312" w:hAnsi="楷体_GB2312" w:eastAsia="楷体_GB2312" w:cs="楷体_GB2312"/>
          <w:sz w:val="32"/>
          <w:szCs w:val="32"/>
        </w:rPr>
        <w:t>月）</w:t>
      </w:r>
      <w:r>
        <w:rPr>
          <w:rFonts w:hint="eastAsia" w:ascii="仿宋_GB2312" w:hAnsi="仿宋_GB2312" w:eastAsia="仿宋_GB2312" w:cs="仿宋_GB2312"/>
          <w:sz w:val="32"/>
          <w:szCs w:val="32"/>
        </w:rPr>
        <w:t xml:space="preserve"> </w:t>
      </w:r>
    </w:p>
    <w:p w14:paraId="4B69A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依据领导小组制定的实施方案，细化工作目标任务，明确各阶段实施步骤与部门责任分工，强化部门间协同协作，确保各项筹备工作有序推进。同时，通过线上线下多渠道开展宣传动员工作，广泛向市民宣传智慧停车场建设的重要意义与积极作用，营造良好社会氛围，争取市民的理解与支持。 </w:t>
      </w:r>
    </w:p>
    <w:p w14:paraId="46242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（二）项目建设阶段（202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 xml:space="preserve">月-2026年12月） </w:t>
      </w:r>
    </w:p>
    <w:p w14:paraId="732BEF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项目分三期稳步推进： </w:t>
      </w:r>
    </w:p>
    <w:p w14:paraId="7A8B1F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第一期（2025年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月底前）：完成7个智慧停车场试点建设（含鄂尔多斯市中心医院</w:t>
      </w:r>
      <w:r>
        <w:rPr>
          <w:rFonts w:hint="eastAsia" w:ascii="仿宋_GB2312" w:hAnsi="仿宋_GB2312" w:eastAsia="仿宋_GB2312" w:cs="仿宋_GB2312"/>
          <w:sz w:val="32"/>
          <w:szCs w:val="32"/>
          <w:lang w:val="en-US" w:eastAsia="zh-CN"/>
        </w:rPr>
        <w:t>康巴什部</w:t>
      </w:r>
      <w:r>
        <w:rPr>
          <w:rFonts w:hint="eastAsia" w:ascii="仿宋_GB2312" w:hAnsi="仿宋_GB2312" w:eastAsia="仿宋_GB2312" w:cs="仿宋_GB2312"/>
          <w:sz w:val="32"/>
          <w:szCs w:val="32"/>
        </w:rPr>
        <w:t>），新增3315个智慧停车泊位，探索形成可复制、可推广的建设运营模式。</w:t>
      </w:r>
    </w:p>
    <w:p w14:paraId="093967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第二期（2026年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月底前）：启动并完成9个智慧停车场建设（含中蒙医院、国际会展中心），新增2890个车位，进一步扩大智慧停车服务覆盖范围。</w:t>
      </w:r>
    </w:p>
    <w:p w14:paraId="3CD7EB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第三期（2026年12月底前）：完成10个智慧停车场建设（含园丁小区、蒙欣商业街），新增3880个车位，全面实现智慧停车体系在重点区域的全覆盖，显著改善城市停车环境。</w:t>
      </w:r>
    </w:p>
    <w:tbl>
      <w:tblPr>
        <w:tblStyle w:val="4"/>
        <w:tblW w:w="10045" w:type="dxa"/>
        <w:tblInd w:w="-1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9"/>
        <w:gridCol w:w="5036"/>
        <w:gridCol w:w="1789"/>
        <w:gridCol w:w="1553"/>
        <w:gridCol w:w="868"/>
      </w:tblGrid>
      <w:tr w14:paraId="2176E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14:paraId="52EC2DCD">
            <w:pPr>
              <w:keepNext w:val="0"/>
              <w:keepLines w:val="0"/>
              <w:pageBreakBefore w:val="0"/>
              <w:widowControl/>
              <w:suppressLineNumbers w:val="0"/>
              <w:kinsoku/>
              <w:wordWrap/>
              <w:overflowPunct/>
              <w:topLinePunct w:val="0"/>
              <w:autoSpaceDE/>
              <w:autoSpaceDN/>
              <w:bidi w:val="0"/>
              <w:adjustRightInd/>
              <w:snapToGrid/>
              <w:spacing w:line="560" w:lineRule="exact"/>
              <w:jc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黑体" w:hAnsi="黑体" w:eastAsia="黑体" w:cs="黑体"/>
                <w:b/>
                <w:bCs/>
                <w:i w:val="0"/>
                <w:iCs w:val="0"/>
                <w:color w:val="000000" w:themeColor="text1"/>
                <w:kern w:val="0"/>
                <w:sz w:val="32"/>
                <w:szCs w:val="32"/>
                <w:u w:val="none"/>
                <w:lang w:val="en-US" w:eastAsia="zh-CN" w:bidi="ar"/>
                <w14:textFill>
                  <w14:solidFill>
                    <w14:schemeClr w14:val="tx1"/>
                  </w14:solidFill>
                </w14:textFill>
              </w:rPr>
              <w:t>一期智慧停车场项目建设任务清单</w:t>
            </w:r>
          </w:p>
        </w:tc>
      </w:tr>
      <w:tr w14:paraId="3D2FB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4"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04F1FF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sz w:val="28"/>
                <w:szCs w:val="28"/>
                <w:u w:val="none"/>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07F4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sz w:val="28"/>
                <w:szCs w:val="28"/>
                <w:u w:val="none"/>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CBF92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sz w:val="28"/>
                <w:szCs w:val="28"/>
                <w:u w:val="none"/>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A43D1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sz w:val="28"/>
                <w:szCs w:val="28"/>
                <w:u w:val="none"/>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2529D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sz w:val="28"/>
                <w:szCs w:val="28"/>
                <w:u w:val="none"/>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备注</w:t>
            </w:r>
          </w:p>
        </w:tc>
      </w:tr>
      <w:tr w14:paraId="4E5C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27F4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3D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lang w:val="en-US"/>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鄂尔多斯市中心医院停车场(试点)</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0A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37600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CC4B">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959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04E53EA">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6F25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3D24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AF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呼能商业广场停车场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3C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29300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A0E4">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665</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4C2795">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4B689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452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AF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金辰国际商业广场（含菜市场）停车场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3C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3688">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729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834AD7">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7E7C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45BE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0D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美食广场停车场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C0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18000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C5B7">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509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6F4E47">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7B628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C543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64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鄂尔多斯图书馆西停车场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43A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8D8C">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54</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66DFCD9">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4142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8117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BC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文化艺术中心停车场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8E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13800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7101">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309</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5AF33A8">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7F9C6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E92CF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66C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泰华锦江酒店停车场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299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4400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EFF9">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90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DDD882">
            <w:pPr>
              <w:keepNext w:val="0"/>
              <w:keepLines w:val="0"/>
              <w:pageBreakBefore w:val="0"/>
              <w:widowControl/>
              <w:kinsoku/>
              <w:wordWrap/>
              <w:overflowPunct/>
              <w:topLinePunct w:val="0"/>
              <w:autoSpaceDE/>
              <w:autoSpaceDN/>
              <w:bidi w:val="0"/>
              <w:adjustRightInd/>
              <w:snapToGrid/>
              <w:spacing w:line="560" w:lineRule="exact"/>
              <w:ind w:firstLine="560" w:firstLineChars="200"/>
              <w:jc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4459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078B9123">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192C26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92500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7CA0C472">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both"/>
              <w:textAlignment w:val="center"/>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3315</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4C50C9A1">
            <w:pPr>
              <w:keepNext w:val="0"/>
              <w:keepLines w:val="0"/>
              <w:pageBreakBefore w:val="0"/>
              <w:widowControl/>
              <w:kinsoku/>
              <w:wordWrap/>
              <w:overflowPunct/>
              <w:topLinePunct w:val="0"/>
              <w:autoSpaceDE/>
              <w:autoSpaceDN/>
              <w:bidi w:val="0"/>
              <w:adjustRightInd/>
              <w:snapToGrid/>
              <w:spacing w:line="560" w:lineRule="exact"/>
              <w:ind w:firstLine="560" w:firstLineChars="200"/>
              <w:jc w:val="both"/>
              <w:rPr>
                <w:rFonts w:hint="eastAsia" w:ascii="仿宋_GB2312" w:hAnsi="仿宋_GB2312" w:eastAsia="仿宋_GB2312" w:cs="仿宋_GB2312"/>
                <w:i w:val="0"/>
                <w:iCs w:val="0"/>
                <w:color w:val="000000" w:themeColor="text1"/>
                <w:sz w:val="28"/>
                <w:szCs w:val="28"/>
                <w:u w:val="none"/>
                <w14:textFill>
                  <w14:solidFill>
                    <w14:schemeClr w14:val="tx1"/>
                  </w14:solidFill>
                </w14:textFill>
              </w:rPr>
            </w:pPr>
          </w:p>
        </w:tc>
      </w:tr>
      <w:tr w14:paraId="3EC1E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14:paraId="35C3D3E7">
            <w:pPr>
              <w:keepNext w:val="0"/>
              <w:keepLines w:val="0"/>
              <w:pageBreakBefore w:val="0"/>
              <w:widowControl/>
              <w:suppressLineNumbers w:val="0"/>
              <w:kinsoku/>
              <w:wordWrap/>
              <w:overflowPunct/>
              <w:topLinePunct w:val="0"/>
              <w:autoSpaceDE/>
              <w:autoSpaceDN/>
              <w:bidi w:val="0"/>
              <w:adjustRightInd/>
              <w:snapToGrid/>
              <w:spacing w:line="560" w:lineRule="exact"/>
              <w:jc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黑体" w:hAnsi="黑体" w:eastAsia="黑体" w:cs="黑体"/>
                <w:b/>
                <w:bCs/>
                <w:i w:val="0"/>
                <w:iCs w:val="0"/>
                <w:color w:val="000000" w:themeColor="text1"/>
                <w:kern w:val="0"/>
                <w:sz w:val="32"/>
                <w:szCs w:val="32"/>
                <w:u w:val="none"/>
                <w:lang w:val="en-US" w:eastAsia="zh-CN" w:bidi="ar"/>
                <w14:textFill>
                  <w14:solidFill>
                    <w14:schemeClr w14:val="tx1"/>
                  </w14:solidFill>
                </w14:textFill>
              </w:rPr>
              <w:t>二期智慧停车场项目建设任务清单</w:t>
            </w:r>
          </w:p>
        </w:tc>
      </w:tr>
      <w:tr w14:paraId="220D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42247F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FC4AA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E6446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B05F9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7C5033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备注</w:t>
            </w:r>
          </w:p>
        </w:tc>
      </w:tr>
      <w:tr w14:paraId="050D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5D0E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E6A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鄂尔多斯市中医医院停车场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89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322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320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9C838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5A34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CE2E2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2E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鄂尔多斯市中蒙医院停车场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77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19000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CD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240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9776A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1261E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87D1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4C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国际会展中心停车场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98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FF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6029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67DF6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F7AF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56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鄂尔多斯博物馆停车场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B6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B79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8F3B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73C32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F2FEF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3E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鄂尔多斯大剧院停车场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1F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15000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5D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4952D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77D6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FBCC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C8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泰华锦江酒店（步行街）停车场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50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403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220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C687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1BD5A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AE3F32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CC7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信息大厦停车场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1F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98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64EFA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2E99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C89C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8</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E0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万力A区（德荣超市周边）停车场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5C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46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660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67465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2C3AD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3AE9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9</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7D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博宇盛大广场周边停车场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38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17000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75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5EC719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46C8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7649A5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6430A1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152000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67FEAB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2890</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774E00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6672C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0045" w:type="dxa"/>
            <w:gridSpan w:val="5"/>
            <w:tcBorders>
              <w:top w:val="nil"/>
              <w:left w:val="nil"/>
              <w:bottom w:val="nil"/>
              <w:right w:val="nil"/>
            </w:tcBorders>
            <w:shd w:val="clear" w:color="auto" w:fill="auto"/>
            <w:noWrap/>
            <w:vAlign w:val="center"/>
          </w:tcPr>
          <w:p w14:paraId="29818C7F">
            <w:pPr>
              <w:keepNext w:val="0"/>
              <w:keepLines w:val="0"/>
              <w:pageBreakBefore w:val="0"/>
              <w:widowControl/>
              <w:suppressLineNumbers w:val="0"/>
              <w:kinsoku/>
              <w:wordWrap/>
              <w:overflowPunct/>
              <w:topLinePunct w:val="0"/>
              <w:autoSpaceDE/>
              <w:autoSpaceDN/>
              <w:bidi w:val="0"/>
              <w:adjustRightInd/>
              <w:snapToGrid/>
              <w:spacing w:line="560" w:lineRule="exact"/>
              <w:jc w:val="center"/>
              <w:rPr>
                <w:rFonts w:hint="eastAsia" w:ascii="仿宋" w:hAnsi="仿宋" w:eastAsia="仿宋" w:cs="仿宋"/>
                <w:b/>
                <w:bCs/>
                <w:i w:val="0"/>
                <w:iCs w:val="0"/>
                <w:color w:val="000000" w:themeColor="text1"/>
                <w:sz w:val="32"/>
                <w:szCs w:val="32"/>
                <w:u w:val="none"/>
                <w14:textFill>
                  <w14:solidFill>
                    <w14:schemeClr w14:val="tx1"/>
                  </w14:solidFill>
                </w14:textFill>
              </w:rPr>
            </w:pPr>
            <w:r>
              <w:rPr>
                <w:rFonts w:hint="eastAsia" w:ascii="黑体" w:hAnsi="黑体" w:eastAsia="黑体" w:cs="黑体"/>
                <w:b/>
                <w:bCs/>
                <w:i w:val="0"/>
                <w:iCs w:val="0"/>
                <w:color w:val="000000" w:themeColor="text1"/>
                <w:kern w:val="0"/>
                <w:sz w:val="32"/>
                <w:szCs w:val="32"/>
                <w:u w:val="none"/>
                <w:lang w:val="en-US" w:eastAsia="zh-CN" w:bidi="ar"/>
                <w14:textFill>
                  <w14:solidFill>
                    <w14:schemeClr w14:val="tx1"/>
                  </w14:solidFill>
                </w14:textFill>
              </w:rPr>
              <w:t>三期智慧停车场项目建设任务清单</w:t>
            </w:r>
          </w:p>
        </w:tc>
      </w:tr>
      <w:tr w14:paraId="07DA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3FB81C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序号</w:t>
            </w:r>
          </w:p>
        </w:tc>
        <w:tc>
          <w:tcPr>
            <w:tcW w:w="5036"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EE1EEF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项目地点</w:t>
            </w:r>
          </w:p>
        </w:tc>
        <w:tc>
          <w:tcPr>
            <w:tcW w:w="1789"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A1F91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占地面积（㎡）</w:t>
            </w:r>
          </w:p>
        </w:tc>
        <w:tc>
          <w:tcPr>
            <w:tcW w:w="155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DC8BC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停车位数量（个）</w:t>
            </w:r>
          </w:p>
        </w:tc>
        <w:tc>
          <w:tcPr>
            <w:tcW w:w="868"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7D4C7F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8"/>
                <w:szCs w:val="28"/>
                <w:u w:val="none"/>
                <w:lang w:val="en-US" w:eastAsia="zh-CN" w:bidi="ar"/>
                <w14:textFill>
                  <w14:solidFill>
                    <w14:schemeClr w14:val="tx1"/>
                  </w14:solidFill>
                </w14:textFill>
              </w:rPr>
              <w:t>备注</w:t>
            </w:r>
          </w:p>
        </w:tc>
      </w:tr>
      <w:tr w14:paraId="2E4F8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8D09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74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园丁小区南北区周边底商停车场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00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38C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6BE9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29B45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82AB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36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文澜雅筑南北区周边底商停车场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7B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44E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600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6E452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3FAC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8D34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CA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蒙欣商业步行街底商停车场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5E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16000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B41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36466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0202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32D55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215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康镇南侧停车场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6F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22000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12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280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BA0E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477DA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20DE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26F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婚礼文化园西侧停车场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470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23BA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55FB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3F32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8326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F9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体育公园停车场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5B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82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A69D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6753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91CB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7</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D2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神华小区周边底商停车场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35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19000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5D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49A6C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547A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318F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8</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33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爱拥公园周边底商停车场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D3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40000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75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670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98485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7F52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16B3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9</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1C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湖区东西两侧停车场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4F2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8200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A4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250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6BAB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6550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B09E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10</w:t>
            </w:r>
          </w:p>
        </w:tc>
        <w:tc>
          <w:tcPr>
            <w:tcW w:w="5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F4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百康桥（三号桥）大草坪停车场</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61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500</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C17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30</w:t>
            </w:r>
          </w:p>
        </w:tc>
        <w:tc>
          <w:tcPr>
            <w:tcW w:w="8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B96B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r w14:paraId="6B24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35"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224021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总计</w:t>
            </w:r>
          </w:p>
        </w:tc>
        <w:tc>
          <w:tcPr>
            <w:tcW w:w="178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1EF18F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142700</w:t>
            </w:r>
          </w:p>
        </w:tc>
        <w:tc>
          <w:tcPr>
            <w:tcW w:w="155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227701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t>3880</w:t>
            </w:r>
          </w:p>
        </w:tc>
        <w:tc>
          <w:tcPr>
            <w:tcW w:w="868"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021303C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iCs w:val="0"/>
                <w:color w:val="000000" w:themeColor="text1"/>
                <w:kern w:val="0"/>
                <w:sz w:val="28"/>
                <w:szCs w:val="28"/>
                <w:u w:val="none"/>
                <w:lang w:val="en-US" w:eastAsia="zh-CN" w:bidi="ar"/>
                <w14:textFill>
                  <w14:solidFill>
                    <w14:schemeClr w14:val="tx1"/>
                  </w14:solidFill>
                </w14:textFill>
              </w:rPr>
            </w:pPr>
          </w:p>
        </w:tc>
      </w:tr>
    </w:tbl>
    <w:p w14:paraId="3B3187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z w:val="32"/>
          <w:szCs w:val="32"/>
          <w:lang w:eastAsia="zh-CN"/>
          <w14:textFill>
            <w14:solidFill>
              <w14:schemeClr w14:val="tx1"/>
            </w14:solidFill>
          </w14:textFill>
        </w:rPr>
        <w:t>）延伸推广阶段（2027年起）</w:t>
      </w:r>
    </w:p>
    <w:p w14:paraId="510668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逐步推进城区所有公共区域停车场实现智慧停车系统建设，扩大覆盖范围，实现全区多业态停车信息一体化。</w:t>
      </w:r>
    </w:p>
    <w:p w14:paraId="1FED2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、收费标准与公示</w:t>
      </w:r>
    </w:p>
    <w:p w14:paraId="271AC4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（一）收费依据。</w:t>
      </w:r>
      <w:r>
        <w:rPr>
          <w:rFonts w:hint="eastAsia" w:ascii="仿宋_GB2312" w:hAnsi="仿宋_GB2312" w:eastAsia="仿宋_GB2312" w:cs="仿宋_GB2312"/>
          <w:color w:val="000000" w:themeColor="text1"/>
          <w:sz w:val="32"/>
          <w:szCs w:val="32"/>
          <w:lang w:eastAsia="zh-CN"/>
          <w14:textFill>
            <w14:solidFill>
              <w14:schemeClr w14:val="tx1"/>
            </w14:solidFill>
          </w14:textFill>
        </w:rPr>
        <w:t>执行《内蒙古自治区机动车停放服务收费管理办法》（内发改价费字〔2021〕1067号）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文件要求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，实行差别化收费。</w:t>
      </w:r>
    </w:p>
    <w:p w14:paraId="4B0B6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（二）收费范围。</w:t>
      </w:r>
      <w:r>
        <w:rPr>
          <w:rFonts w:hint="eastAsia" w:ascii="仿宋_GB2312" w:hAnsi="仿宋_GB2312" w:eastAsia="仿宋_GB2312" w:cs="仿宋_GB2312"/>
          <w:color w:val="000000" w:themeColor="text1"/>
          <w:sz w:val="32"/>
          <w:szCs w:val="32"/>
          <w:lang w:eastAsia="zh-CN"/>
          <w14:textFill>
            <w14:solidFill>
              <w14:schemeClr w14:val="tx1"/>
            </w14:solidFill>
          </w14:textFill>
        </w:rPr>
        <w:t>商圈、医院、学校等国有资金建设停车场及路内泊位。</w:t>
      </w:r>
    </w:p>
    <w:p w14:paraId="2A1D0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（三）公示要求。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在停车场出入口、政府网站、公众号等公示收费标准、区域类别，接受社会监督。公示期间广泛收集市民反馈的各类问题，及时回应并合理调整，不断完善停车服务收费管理。</w:t>
      </w:r>
    </w:p>
    <w:p w14:paraId="72BEAD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（四）收费参考标准（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详见下表</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tbl>
      <w:tblPr>
        <w:tblStyle w:val="4"/>
        <w:tblW w:w="93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56"/>
        <w:gridCol w:w="1104"/>
        <w:gridCol w:w="1298"/>
        <w:gridCol w:w="1271"/>
        <w:gridCol w:w="1851"/>
        <w:gridCol w:w="1114"/>
        <w:gridCol w:w="1191"/>
      </w:tblGrid>
      <w:tr w14:paraId="42D3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36" w:hRule="atLeast"/>
          <w:tblHeader/>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1BF91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kern w:val="0"/>
                <w:sz w:val="28"/>
                <w:szCs w:val="28"/>
                <w:lang w:val="en-US" w:eastAsia="zh-CN" w:bidi="ar"/>
              </w:rPr>
            </w:pPr>
            <w:r>
              <w:rPr>
                <w:rFonts w:hint="eastAsia" w:ascii="黑体" w:hAnsi="黑体" w:eastAsia="黑体" w:cs="黑体"/>
                <w:b/>
                <w:bCs/>
                <w:i w:val="0"/>
                <w:iCs w:val="0"/>
                <w:caps w:val="0"/>
                <w:color w:val="000000"/>
                <w:spacing w:val="0"/>
                <w:kern w:val="0"/>
                <w:sz w:val="28"/>
                <w:szCs w:val="28"/>
                <w:lang w:val="en-US" w:eastAsia="zh-CN" w:bidi="ar"/>
              </w:rPr>
              <w:t>停车场</w:t>
            </w:r>
          </w:p>
          <w:p w14:paraId="6D4906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位置</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15BDEE0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停放类型</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173D95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计费时段</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18686D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免费时长</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FDCF7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超时计费标准</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548E2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单日封顶金额</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06732F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i w:val="0"/>
                <w:iCs w:val="0"/>
                <w:caps w:val="0"/>
                <w:color w:val="000000"/>
                <w:spacing w:val="0"/>
                <w:sz w:val="28"/>
                <w:szCs w:val="28"/>
              </w:rPr>
            </w:pPr>
            <w:r>
              <w:rPr>
                <w:rFonts w:hint="eastAsia" w:ascii="黑体" w:hAnsi="黑体" w:eastAsia="黑体" w:cs="黑体"/>
                <w:b/>
                <w:bCs/>
                <w:i w:val="0"/>
                <w:iCs w:val="0"/>
                <w:caps w:val="0"/>
                <w:color w:val="000000"/>
                <w:spacing w:val="0"/>
                <w:kern w:val="0"/>
                <w:sz w:val="28"/>
                <w:szCs w:val="28"/>
                <w:lang w:val="en-US" w:eastAsia="zh-CN" w:bidi="ar"/>
              </w:rPr>
              <w:t>其他说明</w:t>
            </w:r>
          </w:p>
        </w:tc>
      </w:tr>
      <w:tr w14:paraId="06D9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458" w:hRule="atLeast"/>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A19AB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B8039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61BAC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早7:00— 晚9</w:t>
            </w:r>
            <w:bookmarkStart w:id="0" w:name="_GoBack"/>
            <w:bookmarkEnd w:id="0"/>
            <w:r>
              <w:rPr>
                <w:rFonts w:hint="eastAsia" w:ascii="仿宋_GB2312" w:hAnsi="仿宋_GB2312" w:eastAsia="仿宋_GB2312" w:cs="仿宋_GB2312"/>
                <w:i w:val="0"/>
                <w:iCs w:val="0"/>
                <w:caps w:val="0"/>
                <w:color w:val="000000"/>
                <w:spacing w:val="0"/>
                <w:kern w:val="0"/>
                <w:sz w:val="24"/>
                <w:szCs w:val="24"/>
                <w:lang w:val="en-US" w:eastAsia="zh-CN" w:bidi="ar"/>
              </w:rPr>
              <w:t>:00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0025A0E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59DCC3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每小时2元，超出30分钟按一小时计费</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C2EF3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10949B2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无</w:t>
            </w:r>
          </w:p>
        </w:tc>
      </w:tr>
      <w:tr w14:paraId="2D66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87" w:hRule="atLeast"/>
        </w:trPr>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3DB6EE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B430A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78DAEB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晚9:00—早7:00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5614F9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745A1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每小时1元，超出30分钟按小时计费</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24786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5C83B6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无</w:t>
            </w:r>
          </w:p>
        </w:tc>
      </w:tr>
      <w:tr w14:paraId="0FD1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28FC3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鄂尔多斯市中心医院停车场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5DCAF8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员工车辆</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2D297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全天</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54486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无</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7F431F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提供单位证明可免费停放</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6C2CC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0元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80B59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p>
        </w:tc>
      </w:tr>
      <w:tr w14:paraId="7721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3637C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商业停车场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5F2B02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1C38F55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早7:00—晚21:00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ABDC49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BEE555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按实际停放时长计费（未提及具体单价）</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70B3E3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50858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计费时段外不计费</w:t>
            </w:r>
          </w:p>
        </w:tc>
      </w:tr>
      <w:tr w14:paraId="2803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56"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6B43CB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商业停车场</w:t>
            </w:r>
          </w:p>
        </w:tc>
        <w:tc>
          <w:tcPr>
            <w:tcW w:w="110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7E2B0F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其他车辆（未提及假设同临时车）</w:t>
            </w:r>
          </w:p>
        </w:tc>
        <w:tc>
          <w:tcPr>
            <w:tcW w:w="1298"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EDC97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早7:00— 晚21:00</w:t>
            </w:r>
          </w:p>
        </w:tc>
        <w:tc>
          <w:tcPr>
            <w:tcW w:w="127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21FF3D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30分钟</w:t>
            </w:r>
          </w:p>
        </w:tc>
        <w:tc>
          <w:tcPr>
            <w:tcW w:w="185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31871E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按实际停放时长计费（未提及具体单价）</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7C71A8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28元</w:t>
            </w:r>
          </w:p>
        </w:tc>
        <w:tc>
          <w:tcPr>
            <w:tcW w:w="1191" w:type="dxa"/>
            <w:tcBorders>
              <w:top w:val="single" w:color="auto" w:sz="4" w:space="0"/>
              <w:left w:val="single" w:color="auto" w:sz="4" w:space="0"/>
              <w:bottom w:val="single" w:color="auto" w:sz="4" w:space="0"/>
              <w:right w:val="single" w:color="auto" w:sz="4" w:space="0"/>
            </w:tcBorders>
            <w:shd w:val="clear" w:color="auto" w:fill="FFFFFF"/>
            <w:tcMar>
              <w:top w:w="180" w:type="dxa"/>
              <w:left w:w="270" w:type="dxa"/>
              <w:bottom w:w="180" w:type="dxa"/>
              <w:right w:w="270" w:type="dxa"/>
            </w:tcMar>
            <w:vAlign w:val="center"/>
          </w:tcPr>
          <w:p w14:paraId="4464AB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aps w:val="0"/>
                <w:color w:val="000000"/>
                <w:spacing w:val="0"/>
                <w:kern w:val="0"/>
                <w:sz w:val="24"/>
                <w:szCs w:val="24"/>
                <w:lang w:val="en-US" w:eastAsia="zh-CN" w:bidi="ar"/>
              </w:rPr>
            </w:pPr>
            <w:r>
              <w:rPr>
                <w:rFonts w:hint="eastAsia" w:ascii="仿宋_GB2312" w:hAnsi="仿宋_GB2312" w:eastAsia="仿宋_GB2312" w:cs="仿宋_GB2312"/>
                <w:i w:val="0"/>
                <w:iCs w:val="0"/>
                <w:caps w:val="0"/>
                <w:color w:val="000000"/>
                <w:spacing w:val="0"/>
                <w:kern w:val="0"/>
                <w:sz w:val="24"/>
                <w:szCs w:val="24"/>
                <w:lang w:val="en-US" w:eastAsia="zh-CN" w:bidi="ar"/>
              </w:rPr>
              <w:t>计费时段外不计费</w:t>
            </w:r>
          </w:p>
        </w:tc>
      </w:tr>
    </w:tbl>
    <w:p w14:paraId="76DE9D6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九、资金预算与运营管理</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 </w:t>
      </w:r>
    </w:p>
    <w:p w14:paraId="6A0942B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（一）资金筹措机制。</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项目资金采用运营方自筹模式，严格遵循“谁经营、谁投资”的市场化原则，同时兼顾“微利公益”属性，在保障项目经济效益的基础上，强化公共服务功能，确保项目具备可持续发展能力，为城市停车服务提供长期稳定支撑。 </w:t>
      </w:r>
    </w:p>
    <w:p w14:paraId="74E91CC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（二）运营管理模式。</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实行专业化、集约化管理，委托国有全资企业作为统一运营主体，全面负责停车场运营管理工作。运营收入专项用于停车场日常运营维护，包括路面修复、绿化带养护、设施设备检修等硬件维护，以及监控管理、收费服务等人员薪酬支出。通过规范资金使用流程，建立透明的财务监管机制，切实保障停车场持续稳定运营，不断提升服务质量与管理水平。 </w:t>
      </w:r>
    </w:p>
    <w:p w14:paraId="2D47F98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i w:val="0"/>
          <w:iCs w:val="0"/>
          <w:caps w:val="0"/>
          <w:color w:val="000000"/>
          <w:spacing w:val="0"/>
          <w:kern w:val="0"/>
          <w:sz w:val="32"/>
          <w:szCs w:val="32"/>
          <w:lang w:val="en-US" w:eastAsia="zh-CN" w:bidi="ar"/>
        </w:rPr>
      </w:pPr>
      <w:r>
        <w:rPr>
          <w:rFonts w:hint="eastAsia" w:ascii="黑体" w:hAnsi="黑体" w:eastAsia="黑体" w:cs="黑体"/>
          <w:b w:val="0"/>
          <w:bCs w:val="0"/>
          <w:i w:val="0"/>
          <w:iCs w:val="0"/>
          <w:caps w:val="0"/>
          <w:color w:val="000000"/>
          <w:spacing w:val="0"/>
          <w:kern w:val="0"/>
          <w:sz w:val="32"/>
          <w:szCs w:val="32"/>
          <w:lang w:val="en-US" w:eastAsia="zh-CN" w:bidi="ar"/>
        </w:rPr>
        <w:t xml:space="preserve">十、工作要求 </w:t>
      </w:r>
    </w:p>
    <w:p w14:paraId="656249D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（一）强化组织统筹协调。</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充分发挥领导小组的统筹领导作用，全面负责全区停车资源开发利用的整体规划与战略布局，协调解决智慧停车平台建设过程中的重大问题与关键难点，确保项目建设高效有序推进。各成员单位需提高政治站位，严格落实责任分工，加强部门间协同联动，形成上下贯通、齐抓共管的工作合力，为项目实施提供坚实组织保障。 </w:t>
      </w:r>
    </w:p>
    <w:p w14:paraId="33F122D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（二）深化宣传推广引导。</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构建全方位、多层次的宣传体系，通过电视、报纸、新媒体等多元化渠道，及时发布智慧停车建设动态，深入总结推广典型经验案例，营造全社会关注、支持智慧停车建设的良好舆论氛围。加强公众宣传教育，通过政策解读、文明停车倡议等活动，提升市民对智慧停车管理的认知度与参与度，引导市民树立“停车付费”的契约意识和“顺向有序停车”的文明理念，共同维护良好停车秩序。 </w:t>
      </w:r>
    </w:p>
    <w:p w14:paraId="5D0E092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（三）严格全流程监督管理。</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 xml:space="preserve">建立健全常态化监督检查机制，对本方案落实情况开展定期督查与不定期抽查，确保责任落实到位、任务执行到位。聚焦停车场建设、运营、收费等关键环节，强化全过程监管，严厉打击违规建设、乱收费、服务不到位等违法违规行为，维护公平有序的市场环境，切实保障市民合法权益。 </w:t>
      </w:r>
    </w:p>
    <w:p w14:paraId="1496106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楷体_GB2312" w:hAnsi="楷体_GB2312" w:eastAsia="楷体_GB2312" w:cs="楷体_GB2312"/>
          <w:b w:val="0"/>
          <w:bCs w:val="0"/>
          <w:i w:val="0"/>
          <w:iCs w:val="0"/>
          <w:caps w:val="0"/>
          <w:color w:val="000000"/>
          <w:spacing w:val="0"/>
          <w:kern w:val="0"/>
          <w:sz w:val="32"/>
          <w:szCs w:val="32"/>
          <w:lang w:val="en-US" w:eastAsia="zh-CN" w:bidi="ar"/>
        </w:rPr>
        <w:t>（四）筑牢数据安全防线。</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严格遵循GB/T22239—2019《信息安全网络安全等级保护基本要求》，构建全方位、立体化的智慧停车管理系统信息安全防护体系。针对系统物理环境、网络边界、主机设备、终端设施、应用程序及数据存储等关键环节，制定并落实针对性安全防护措施，定期开展安全评估与风险排查，及时修复安全漏洞，确保系统安全稳定运行，有效保护用户隐私与数据安全。</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6DA9A4-9088-4168-A1A7-EC1BF4B450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80C66E28-9DFC-44D9-BC61-3969E2E50B27}"/>
  </w:font>
  <w:font w:name="仿宋_GB2312">
    <w:altName w:val="仿宋"/>
    <w:panose1 w:val="02010609030101010101"/>
    <w:charset w:val="86"/>
    <w:family w:val="auto"/>
    <w:pitch w:val="default"/>
    <w:sig w:usb0="00000000" w:usb1="00000000" w:usb2="00000000" w:usb3="00000000" w:csb0="00040000" w:csb1="00000000"/>
    <w:embedRegular r:id="rId3" w:fontKey="{99DDD577-51D5-4A5F-ADD4-91A620D24B23}"/>
  </w:font>
  <w:font w:name="楷体_GB2312">
    <w:altName w:val="楷体"/>
    <w:panose1 w:val="02010609030101010101"/>
    <w:charset w:val="86"/>
    <w:family w:val="auto"/>
    <w:pitch w:val="default"/>
    <w:sig w:usb0="00000000" w:usb1="00000000" w:usb2="00000000" w:usb3="00000000" w:csb0="00040000" w:csb1="00000000"/>
    <w:embedRegular r:id="rId4" w:fontKey="{35905B7E-7931-4110-A17C-61F17D3A88B4}"/>
  </w:font>
  <w:font w:name="仿宋">
    <w:panose1 w:val="02010609060101010101"/>
    <w:charset w:val="86"/>
    <w:family w:val="auto"/>
    <w:pitch w:val="default"/>
    <w:sig w:usb0="800002BF" w:usb1="38CF7CFA" w:usb2="00000016" w:usb3="00000000" w:csb0="00040001" w:csb1="00000000"/>
    <w:embedRegular r:id="rId5" w:fontKey="{9B165E38-0F36-436A-87F5-25AF5A4AE83C}"/>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CBA5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12109">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912109">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90363"/>
    <w:rsid w:val="1BF77924"/>
    <w:rsid w:val="23D90363"/>
    <w:rsid w:val="299F779B"/>
    <w:rsid w:val="3C05725F"/>
    <w:rsid w:val="484D0973"/>
    <w:rsid w:val="63235F4B"/>
    <w:rsid w:val="6DE42027"/>
    <w:rsid w:val="74FCABDD"/>
    <w:rsid w:val="DF7CE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5595</Words>
  <Characters>5876</Characters>
  <Lines>0</Lines>
  <Paragraphs>0</Paragraphs>
  <TotalTime>20</TotalTime>
  <ScaleCrop>false</ScaleCrop>
  <LinksUpToDate>false</LinksUpToDate>
  <CharactersWithSpaces>5916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2025-06-04T00:54:00Z</dcterms:created>
  <dc:creator>乔伟</dc:creator>
  <cp:lastModifiedBy>zzzzzzyx</cp:lastModifiedBy>
  <dcterms:modified xsi:type="dcterms:W3CDTF">2026-01-28T07:04:56Z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3DFA761046FC453385CBC240F72608F9_13</vt:lpwstr>
  </property>
  <property fmtid="{D5CDD505-2E9C-101B-9397-08002B2CF9AE}" pid="4" name="KSOTemplateDocerSaveRecord">
    <vt:lpwstr>eyJoZGlkIjoiZjQwYjllNzYxYWM1MWQyMzdiY2RkZjhmNzFmN2U2YzAiLCJ1c2VySWQiOiIxMTcyMzUxMTA1In0=</vt:lpwstr>
  </property>
</Properties>
</file>