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6452A" w14:textId="77777777" w:rsidR="00A739F2" w:rsidRDefault="00A739F2">
      <w:pPr>
        <w:widowControl/>
        <w:kinsoku w:val="0"/>
        <w:autoSpaceDE w:val="0"/>
        <w:autoSpaceDN w:val="0"/>
        <w:adjustRightInd w:val="0"/>
        <w:snapToGrid w:val="0"/>
        <w:spacing w:before="172" w:line="185" w:lineRule="auto"/>
        <w:ind w:left="8" w:firstLineChars="0" w:hanging="8"/>
        <w:jc w:val="center"/>
        <w:textAlignment w:val="baseline"/>
        <w:rPr>
          <w:rFonts w:eastAsia="微软雅黑" w:cs="微软雅黑"/>
          <w:snapToGrid w:val="0"/>
          <w:color w:val="000000"/>
          <w:spacing w:val="-2"/>
          <w:kern w:val="0"/>
          <w:sz w:val="40"/>
          <w:szCs w:val="40"/>
        </w:rPr>
      </w:pPr>
    </w:p>
    <w:p w14:paraId="1C382324" w14:textId="77777777" w:rsidR="00A739F2" w:rsidRDefault="00A739F2">
      <w:pPr>
        <w:pStyle w:val="2"/>
        <w:ind w:left="640" w:firstLine="792"/>
        <w:rPr>
          <w:rFonts w:eastAsia="微软雅黑" w:cs="微软雅黑"/>
          <w:snapToGrid w:val="0"/>
          <w:color w:val="000000"/>
          <w:spacing w:val="-2"/>
          <w:sz w:val="40"/>
          <w:szCs w:val="40"/>
        </w:rPr>
      </w:pPr>
    </w:p>
    <w:p w14:paraId="30A8EF79" w14:textId="77777777" w:rsidR="00A739F2" w:rsidRDefault="00A739F2"/>
    <w:p w14:paraId="5BF7D52A" w14:textId="77777777" w:rsidR="00A739F2" w:rsidRDefault="00A739F2">
      <w:pPr>
        <w:widowControl/>
        <w:kinsoku w:val="0"/>
        <w:autoSpaceDE w:val="0"/>
        <w:autoSpaceDN w:val="0"/>
        <w:adjustRightInd w:val="0"/>
        <w:snapToGrid w:val="0"/>
        <w:spacing w:before="172" w:line="185" w:lineRule="auto"/>
        <w:ind w:left="8" w:firstLineChars="0" w:hanging="8"/>
        <w:jc w:val="center"/>
        <w:textAlignment w:val="baseline"/>
        <w:rPr>
          <w:rFonts w:eastAsia="华文中宋" w:cs="华文中宋"/>
          <w:b/>
          <w:bCs/>
          <w:snapToGrid w:val="0"/>
          <w:color w:val="000000"/>
          <w:spacing w:val="-2"/>
          <w:kern w:val="0"/>
          <w:sz w:val="40"/>
          <w:szCs w:val="40"/>
        </w:rPr>
      </w:pPr>
    </w:p>
    <w:p w14:paraId="4DB98ECA" w14:textId="77777777" w:rsidR="00A739F2" w:rsidRDefault="00597D48">
      <w:pPr>
        <w:widowControl/>
        <w:kinsoku w:val="0"/>
        <w:autoSpaceDE w:val="0"/>
        <w:autoSpaceDN w:val="0"/>
        <w:adjustRightInd w:val="0"/>
        <w:snapToGrid w:val="0"/>
        <w:spacing w:before="172" w:line="185" w:lineRule="auto"/>
        <w:ind w:left="6" w:firstLineChars="0" w:hanging="6"/>
        <w:jc w:val="center"/>
        <w:textAlignment w:val="baseline"/>
        <w:rPr>
          <w:rFonts w:eastAsia="华文中宋" w:cs="华文中宋"/>
          <w:snapToGrid w:val="0"/>
          <w:color w:val="000000"/>
          <w:spacing w:val="-2"/>
          <w:kern w:val="0"/>
          <w:sz w:val="44"/>
          <w:szCs w:val="44"/>
        </w:rPr>
      </w:pPr>
      <w:r>
        <w:rPr>
          <w:rFonts w:eastAsia="华文中宋" w:cs="华文中宋" w:hint="eastAsia"/>
          <w:snapToGrid w:val="0"/>
          <w:color w:val="000000"/>
          <w:spacing w:val="-2"/>
          <w:kern w:val="0"/>
          <w:sz w:val="44"/>
          <w:szCs w:val="44"/>
        </w:rPr>
        <w:t>康巴什区新能源发展规划</w:t>
      </w:r>
    </w:p>
    <w:p w14:paraId="62A7AFC0" w14:textId="77777777" w:rsidR="00A739F2" w:rsidRDefault="00597D48">
      <w:pPr>
        <w:widowControl/>
        <w:kinsoku w:val="0"/>
        <w:autoSpaceDE w:val="0"/>
        <w:autoSpaceDN w:val="0"/>
        <w:adjustRightInd w:val="0"/>
        <w:snapToGrid w:val="0"/>
        <w:spacing w:before="172" w:line="185" w:lineRule="auto"/>
        <w:ind w:left="6" w:firstLineChars="0" w:hanging="6"/>
        <w:jc w:val="center"/>
        <w:textAlignment w:val="baseline"/>
        <w:rPr>
          <w:rFonts w:eastAsia="华文中宋" w:cs="Times New Roman"/>
          <w:snapToGrid w:val="0"/>
          <w:color w:val="000000"/>
          <w:spacing w:val="-2"/>
          <w:kern w:val="0"/>
          <w:sz w:val="44"/>
          <w:szCs w:val="44"/>
        </w:rPr>
      </w:pPr>
      <w:r>
        <w:rPr>
          <w:rFonts w:eastAsia="华文中宋" w:cs="Times New Roman" w:hint="eastAsia"/>
          <w:snapToGrid w:val="0"/>
          <w:color w:val="000000"/>
          <w:spacing w:val="-2"/>
          <w:kern w:val="0"/>
          <w:sz w:val="44"/>
          <w:szCs w:val="44"/>
        </w:rPr>
        <w:t>（</w:t>
      </w:r>
      <w:r>
        <w:rPr>
          <w:rFonts w:eastAsia="华文中宋" w:cs="Times New Roman" w:hint="eastAsia"/>
          <w:snapToGrid w:val="0"/>
          <w:color w:val="000000"/>
          <w:spacing w:val="-2"/>
          <w:kern w:val="0"/>
          <w:sz w:val="44"/>
          <w:szCs w:val="44"/>
        </w:rPr>
        <w:t>2024</w:t>
      </w:r>
      <w:r>
        <w:rPr>
          <w:rFonts w:eastAsia="华文中宋" w:cs="Times New Roman" w:hint="eastAsia"/>
          <w:snapToGrid w:val="0"/>
          <w:color w:val="000000"/>
          <w:spacing w:val="-2"/>
          <w:kern w:val="0"/>
          <w:sz w:val="44"/>
          <w:szCs w:val="44"/>
        </w:rPr>
        <w:t>—</w:t>
      </w:r>
      <w:r>
        <w:rPr>
          <w:rFonts w:eastAsia="华文中宋" w:cs="Times New Roman" w:hint="eastAsia"/>
          <w:snapToGrid w:val="0"/>
          <w:color w:val="000000"/>
          <w:spacing w:val="-2"/>
          <w:kern w:val="0"/>
          <w:sz w:val="44"/>
          <w:szCs w:val="44"/>
        </w:rPr>
        <w:t>2035</w:t>
      </w:r>
      <w:r>
        <w:rPr>
          <w:rFonts w:eastAsia="华文中宋" w:cs="Times New Roman" w:hint="eastAsia"/>
          <w:snapToGrid w:val="0"/>
          <w:color w:val="000000"/>
          <w:spacing w:val="-2"/>
          <w:kern w:val="0"/>
          <w:sz w:val="44"/>
          <w:szCs w:val="44"/>
        </w:rPr>
        <w:t>年）</w:t>
      </w:r>
    </w:p>
    <w:p w14:paraId="560E46D2" w14:textId="77777777" w:rsidR="00A739F2" w:rsidRDefault="00A739F2">
      <w:pPr>
        <w:widowControl/>
        <w:kinsoku w:val="0"/>
        <w:autoSpaceDE w:val="0"/>
        <w:autoSpaceDN w:val="0"/>
        <w:adjustRightInd w:val="0"/>
        <w:snapToGrid w:val="0"/>
        <w:spacing w:before="172" w:line="185" w:lineRule="auto"/>
        <w:ind w:left="6" w:firstLineChars="0" w:hanging="6"/>
        <w:jc w:val="center"/>
        <w:textAlignment w:val="baseline"/>
        <w:rPr>
          <w:rFonts w:eastAsiaTheme="majorEastAsia" w:cstheme="majorEastAsia"/>
          <w:b/>
          <w:bCs/>
          <w:snapToGrid w:val="0"/>
          <w:color w:val="000000"/>
          <w:spacing w:val="-2"/>
          <w:kern w:val="0"/>
          <w:sz w:val="40"/>
          <w:szCs w:val="40"/>
        </w:rPr>
      </w:pPr>
    </w:p>
    <w:p w14:paraId="7CBFB99B" w14:textId="77777777" w:rsidR="00A739F2" w:rsidRDefault="00A739F2">
      <w:pPr>
        <w:widowControl/>
        <w:kinsoku w:val="0"/>
        <w:autoSpaceDE w:val="0"/>
        <w:autoSpaceDN w:val="0"/>
        <w:adjustRightInd w:val="0"/>
        <w:snapToGrid w:val="0"/>
        <w:spacing w:before="172" w:line="185" w:lineRule="auto"/>
        <w:ind w:left="8" w:firstLineChars="0" w:hanging="8"/>
        <w:jc w:val="center"/>
        <w:textAlignment w:val="baseline"/>
        <w:rPr>
          <w:rFonts w:eastAsia="微软雅黑" w:cs="微软雅黑"/>
          <w:snapToGrid w:val="0"/>
          <w:color w:val="000000"/>
          <w:spacing w:val="-2"/>
          <w:kern w:val="0"/>
          <w:sz w:val="40"/>
          <w:szCs w:val="40"/>
        </w:rPr>
      </w:pPr>
    </w:p>
    <w:p w14:paraId="62406EE9" w14:textId="77777777" w:rsidR="00A739F2" w:rsidRDefault="00A739F2">
      <w:pPr>
        <w:widowControl/>
        <w:kinsoku w:val="0"/>
        <w:autoSpaceDE w:val="0"/>
        <w:autoSpaceDN w:val="0"/>
        <w:adjustRightInd w:val="0"/>
        <w:snapToGrid w:val="0"/>
        <w:spacing w:before="172" w:line="185" w:lineRule="auto"/>
        <w:ind w:left="8" w:firstLineChars="0" w:hanging="8"/>
        <w:jc w:val="center"/>
        <w:textAlignment w:val="baseline"/>
        <w:rPr>
          <w:rFonts w:eastAsia="微软雅黑" w:cs="微软雅黑"/>
          <w:snapToGrid w:val="0"/>
          <w:color w:val="000000"/>
          <w:spacing w:val="-2"/>
          <w:kern w:val="0"/>
          <w:sz w:val="40"/>
          <w:szCs w:val="40"/>
        </w:rPr>
      </w:pPr>
    </w:p>
    <w:p w14:paraId="5CEBC75F" w14:textId="77777777" w:rsidR="00A739F2" w:rsidRDefault="00A739F2">
      <w:pPr>
        <w:widowControl/>
        <w:kinsoku w:val="0"/>
        <w:autoSpaceDE w:val="0"/>
        <w:autoSpaceDN w:val="0"/>
        <w:adjustRightInd w:val="0"/>
        <w:snapToGrid w:val="0"/>
        <w:spacing w:before="172" w:line="185" w:lineRule="auto"/>
        <w:ind w:left="8" w:firstLineChars="0" w:hanging="8"/>
        <w:jc w:val="center"/>
        <w:textAlignment w:val="baseline"/>
        <w:rPr>
          <w:rFonts w:eastAsia="微软雅黑" w:cs="微软雅黑"/>
          <w:snapToGrid w:val="0"/>
          <w:color w:val="000000"/>
          <w:spacing w:val="-2"/>
          <w:kern w:val="0"/>
          <w:sz w:val="40"/>
          <w:szCs w:val="40"/>
        </w:rPr>
      </w:pPr>
    </w:p>
    <w:p w14:paraId="5C4C6279" w14:textId="77777777" w:rsidR="00A739F2" w:rsidRDefault="00A739F2">
      <w:pPr>
        <w:widowControl/>
        <w:kinsoku w:val="0"/>
        <w:autoSpaceDE w:val="0"/>
        <w:autoSpaceDN w:val="0"/>
        <w:adjustRightInd w:val="0"/>
        <w:snapToGrid w:val="0"/>
        <w:spacing w:before="172" w:line="185" w:lineRule="auto"/>
        <w:ind w:left="8" w:firstLineChars="0" w:hanging="8"/>
        <w:jc w:val="center"/>
        <w:textAlignment w:val="baseline"/>
        <w:rPr>
          <w:rFonts w:eastAsia="微软雅黑" w:cs="微软雅黑"/>
          <w:snapToGrid w:val="0"/>
          <w:color w:val="000000"/>
          <w:spacing w:val="-2"/>
          <w:kern w:val="0"/>
          <w:sz w:val="40"/>
          <w:szCs w:val="40"/>
        </w:rPr>
      </w:pPr>
    </w:p>
    <w:p w14:paraId="796AA96D" w14:textId="77777777" w:rsidR="00A739F2" w:rsidRDefault="00A739F2">
      <w:pPr>
        <w:widowControl/>
        <w:kinsoku w:val="0"/>
        <w:autoSpaceDE w:val="0"/>
        <w:autoSpaceDN w:val="0"/>
        <w:adjustRightInd w:val="0"/>
        <w:snapToGrid w:val="0"/>
        <w:spacing w:before="172" w:line="185" w:lineRule="auto"/>
        <w:ind w:left="8" w:firstLineChars="0" w:hanging="8"/>
        <w:jc w:val="center"/>
        <w:textAlignment w:val="baseline"/>
        <w:rPr>
          <w:rFonts w:eastAsia="微软雅黑" w:cs="微软雅黑"/>
          <w:snapToGrid w:val="0"/>
          <w:color w:val="000000"/>
          <w:spacing w:val="-2"/>
          <w:kern w:val="0"/>
          <w:sz w:val="40"/>
          <w:szCs w:val="40"/>
        </w:rPr>
      </w:pPr>
    </w:p>
    <w:p w14:paraId="0BF2A2E7" w14:textId="77777777" w:rsidR="00A739F2" w:rsidRDefault="00A739F2">
      <w:pPr>
        <w:widowControl/>
        <w:kinsoku w:val="0"/>
        <w:autoSpaceDE w:val="0"/>
        <w:autoSpaceDN w:val="0"/>
        <w:adjustRightInd w:val="0"/>
        <w:snapToGrid w:val="0"/>
        <w:spacing w:before="172" w:line="185" w:lineRule="auto"/>
        <w:ind w:left="8" w:firstLineChars="0" w:hanging="8"/>
        <w:jc w:val="center"/>
        <w:textAlignment w:val="baseline"/>
        <w:rPr>
          <w:rFonts w:eastAsia="微软雅黑" w:cs="微软雅黑"/>
          <w:snapToGrid w:val="0"/>
          <w:color w:val="000000"/>
          <w:spacing w:val="-2"/>
          <w:kern w:val="0"/>
          <w:sz w:val="40"/>
          <w:szCs w:val="40"/>
        </w:rPr>
      </w:pPr>
    </w:p>
    <w:p w14:paraId="76602565" w14:textId="77777777" w:rsidR="00A739F2" w:rsidRDefault="00A739F2">
      <w:pPr>
        <w:widowControl/>
        <w:kinsoku w:val="0"/>
        <w:autoSpaceDE w:val="0"/>
        <w:autoSpaceDN w:val="0"/>
        <w:adjustRightInd w:val="0"/>
        <w:snapToGrid w:val="0"/>
        <w:spacing w:before="172" w:line="185" w:lineRule="auto"/>
        <w:ind w:left="8" w:firstLineChars="0" w:hanging="8"/>
        <w:jc w:val="center"/>
        <w:textAlignment w:val="baseline"/>
        <w:rPr>
          <w:rFonts w:eastAsia="微软雅黑" w:cs="微软雅黑"/>
          <w:snapToGrid w:val="0"/>
          <w:color w:val="000000"/>
          <w:spacing w:val="-2"/>
          <w:kern w:val="0"/>
          <w:sz w:val="40"/>
          <w:szCs w:val="40"/>
        </w:rPr>
      </w:pPr>
    </w:p>
    <w:p w14:paraId="61879DB5" w14:textId="77777777" w:rsidR="00A739F2" w:rsidRDefault="00A739F2">
      <w:pPr>
        <w:widowControl/>
        <w:kinsoku w:val="0"/>
        <w:autoSpaceDE w:val="0"/>
        <w:autoSpaceDN w:val="0"/>
        <w:adjustRightInd w:val="0"/>
        <w:snapToGrid w:val="0"/>
        <w:spacing w:before="172" w:line="185" w:lineRule="auto"/>
        <w:ind w:left="8" w:firstLineChars="0" w:hanging="8"/>
        <w:jc w:val="center"/>
        <w:textAlignment w:val="baseline"/>
        <w:rPr>
          <w:rFonts w:eastAsia="微软雅黑" w:cs="微软雅黑"/>
          <w:snapToGrid w:val="0"/>
          <w:color w:val="000000"/>
          <w:spacing w:val="-2"/>
          <w:kern w:val="0"/>
          <w:sz w:val="40"/>
          <w:szCs w:val="40"/>
        </w:rPr>
      </w:pPr>
    </w:p>
    <w:p w14:paraId="2ABA1913" w14:textId="77777777" w:rsidR="00A739F2" w:rsidRDefault="00A739F2">
      <w:pPr>
        <w:widowControl/>
        <w:kinsoku w:val="0"/>
        <w:autoSpaceDE w:val="0"/>
        <w:autoSpaceDN w:val="0"/>
        <w:adjustRightInd w:val="0"/>
        <w:snapToGrid w:val="0"/>
        <w:spacing w:before="172" w:line="185" w:lineRule="auto"/>
        <w:ind w:left="8" w:firstLineChars="0" w:hanging="8"/>
        <w:jc w:val="center"/>
        <w:textAlignment w:val="baseline"/>
        <w:rPr>
          <w:rFonts w:eastAsia="微软雅黑" w:cs="微软雅黑"/>
          <w:snapToGrid w:val="0"/>
          <w:color w:val="000000"/>
          <w:spacing w:val="-2"/>
          <w:kern w:val="0"/>
          <w:sz w:val="40"/>
          <w:szCs w:val="40"/>
        </w:rPr>
      </w:pPr>
    </w:p>
    <w:p w14:paraId="4060AC18" w14:textId="77777777" w:rsidR="00A739F2" w:rsidRDefault="00A739F2">
      <w:pPr>
        <w:widowControl/>
        <w:kinsoku w:val="0"/>
        <w:autoSpaceDE w:val="0"/>
        <w:autoSpaceDN w:val="0"/>
        <w:adjustRightInd w:val="0"/>
        <w:snapToGrid w:val="0"/>
        <w:spacing w:before="172" w:line="185" w:lineRule="auto"/>
        <w:ind w:left="8" w:firstLineChars="0" w:hanging="8"/>
        <w:jc w:val="center"/>
        <w:textAlignment w:val="baseline"/>
        <w:rPr>
          <w:rFonts w:eastAsia="微软雅黑" w:cs="微软雅黑"/>
          <w:snapToGrid w:val="0"/>
          <w:color w:val="000000"/>
          <w:spacing w:val="-2"/>
          <w:kern w:val="0"/>
          <w:sz w:val="40"/>
          <w:szCs w:val="40"/>
        </w:rPr>
      </w:pPr>
    </w:p>
    <w:p w14:paraId="57B6E56A" w14:textId="77777777" w:rsidR="00A739F2" w:rsidRDefault="00A739F2">
      <w:pPr>
        <w:pStyle w:val="2"/>
        <w:ind w:left="640" w:firstLine="792"/>
        <w:rPr>
          <w:rFonts w:eastAsia="华文中宋" w:cs="华文中宋"/>
          <w:snapToGrid w:val="0"/>
          <w:color w:val="000000"/>
          <w:spacing w:val="-2"/>
          <w:sz w:val="40"/>
          <w:szCs w:val="40"/>
        </w:rPr>
      </w:pPr>
    </w:p>
    <w:p w14:paraId="1E8C0567" w14:textId="77777777" w:rsidR="00A739F2" w:rsidRDefault="00A739F2">
      <w:pPr>
        <w:ind w:firstLine="792"/>
        <w:rPr>
          <w:rFonts w:eastAsia="华文中宋" w:cs="华文中宋"/>
          <w:snapToGrid w:val="0"/>
          <w:color w:val="000000"/>
          <w:spacing w:val="-2"/>
          <w:kern w:val="0"/>
          <w:sz w:val="40"/>
          <w:szCs w:val="40"/>
        </w:rPr>
      </w:pPr>
    </w:p>
    <w:p w14:paraId="7CB7F77D" w14:textId="77777777" w:rsidR="00A739F2" w:rsidRDefault="00A739F2">
      <w:pPr>
        <w:pStyle w:val="2"/>
        <w:ind w:leftChars="0" w:left="0" w:firstLineChars="0" w:firstLine="0"/>
        <w:rPr>
          <w:rFonts w:eastAsia="华文中宋" w:cs="华文中宋"/>
        </w:rPr>
      </w:pPr>
    </w:p>
    <w:p w14:paraId="389E63A8" w14:textId="77777777" w:rsidR="00A739F2" w:rsidRDefault="00597D48">
      <w:pPr>
        <w:widowControl/>
        <w:kinsoku w:val="0"/>
        <w:autoSpaceDE w:val="0"/>
        <w:autoSpaceDN w:val="0"/>
        <w:adjustRightInd w:val="0"/>
        <w:snapToGrid w:val="0"/>
        <w:spacing w:before="172" w:line="185" w:lineRule="auto"/>
        <w:ind w:left="6" w:firstLineChars="0" w:hanging="6"/>
        <w:jc w:val="center"/>
        <w:textAlignment w:val="baseline"/>
        <w:rPr>
          <w:rFonts w:eastAsia="华文中宋" w:cs="Times New Roman"/>
          <w:snapToGrid w:val="0"/>
          <w:color w:val="000000"/>
          <w:spacing w:val="-2"/>
          <w:kern w:val="0"/>
          <w:sz w:val="40"/>
          <w:szCs w:val="40"/>
        </w:rPr>
      </w:pPr>
      <w:r>
        <w:rPr>
          <w:rFonts w:eastAsia="华文中宋" w:cs="Times New Roman" w:hint="eastAsia"/>
          <w:snapToGrid w:val="0"/>
          <w:color w:val="000000"/>
          <w:spacing w:val="-2"/>
          <w:kern w:val="0"/>
          <w:sz w:val="40"/>
          <w:szCs w:val="40"/>
        </w:rPr>
        <w:t>2024</w:t>
      </w:r>
      <w:r>
        <w:rPr>
          <w:rFonts w:eastAsia="华文中宋" w:cs="Times New Roman" w:hint="eastAsia"/>
          <w:snapToGrid w:val="0"/>
          <w:color w:val="000000"/>
          <w:spacing w:val="-2"/>
          <w:kern w:val="0"/>
          <w:sz w:val="40"/>
          <w:szCs w:val="40"/>
        </w:rPr>
        <w:t>年</w:t>
      </w:r>
      <w:r>
        <w:rPr>
          <w:rFonts w:eastAsia="华文中宋" w:cs="Times New Roman" w:hint="eastAsia"/>
          <w:snapToGrid w:val="0"/>
          <w:color w:val="000000"/>
          <w:spacing w:val="-2"/>
          <w:kern w:val="0"/>
          <w:sz w:val="40"/>
          <w:szCs w:val="40"/>
        </w:rPr>
        <w:t>7</w:t>
      </w:r>
      <w:r>
        <w:rPr>
          <w:rFonts w:eastAsia="华文中宋" w:cs="Times New Roman" w:hint="eastAsia"/>
          <w:snapToGrid w:val="0"/>
          <w:color w:val="000000"/>
          <w:spacing w:val="-2"/>
          <w:kern w:val="0"/>
          <w:sz w:val="40"/>
          <w:szCs w:val="40"/>
        </w:rPr>
        <w:t>月</w:t>
      </w:r>
    </w:p>
    <w:p w14:paraId="2F61F794" w14:textId="77777777" w:rsidR="00A739F2" w:rsidRDefault="00A739F2">
      <w:pPr>
        <w:widowControl/>
        <w:kinsoku w:val="0"/>
        <w:autoSpaceDE w:val="0"/>
        <w:autoSpaceDN w:val="0"/>
        <w:adjustRightInd w:val="0"/>
        <w:snapToGrid w:val="0"/>
        <w:spacing w:before="172" w:line="185" w:lineRule="auto"/>
        <w:ind w:left="6" w:firstLineChars="0" w:hanging="6"/>
        <w:jc w:val="center"/>
        <w:textAlignment w:val="baseline"/>
        <w:rPr>
          <w:rFonts w:eastAsia="华文中宋" w:cs="Times New Roman"/>
          <w:snapToGrid w:val="0"/>
          <w:color w:val="000000"/>
          <w:spacing w:val="-2"/>
          <w:kern w:val="0"/>
          <w:sz w:val="40"/>
          <w:szCs w:val="40"/>
        </w:rPr>
        <w:sectPr w:rsidR="00A739F2">
          <w:headerReference w:type="even" r:id="rId10"/>
          <w:footerReference w:type="even" r:id="rId11"/>
          <w:footerReference w:type="default" r:id="rId12"/>
          <w:headerReference w:type="first" r:id="rId13"/>
          <w:footerReference w:type="first" r:id="rId14"/>
          <w:pgSz w:w="11906" w:h="16838"/>
          <w:pgMar w:top="2098" w:right="1474" w:bottom="1984" w:left="1587" w:header="850" w:footer="777" w:gutter="0"/>
          <w:cols w:space="0"/>
          <w:docGrid w:type="linesAndChars" w:linePitch="312"/>
        </w:sectPr>
      </w:pPr>
    </w:p>
    <w:sdt>
      <w:sdtPr>
        <w:rPr>
          <w:rFonts w:eastAsia="黑体" w:cs="黑体" w:hint="eastAsia"/>
          <w:szCs w:val="32"/>
        </w:rPr>
        <w:id w:val="147455724"/>
        <w15:color w:val="DBDBDB"/>
        <w:docPartObj>
          <w:docPartGallery w:val="Table of Contents"/>
          <w:docPartUnique/>
        </w:docPartObj>
      </w:sdtPr>
      <w:sdtEndPr>
        <w:rPr>
          <w:rFonts w:eastAsia="Arial" w:cs="Arial"/>
          <w:b/>
          <w:snapToGrid w:val="0"/>
          <w:color w:val="000000"/>
          <w:kern w:val="0"/>
          <w:szCs w:val="21"/>
        </w:rPr>
      </w:sdtEndPr>
      <w:sdtContent>
        <w:p w14:paraId="5C63B08C" w14:textId="77777777" w:rsidR="00A739F2" w:rsidRDefault="00597D48">
          <w:pPr>
            <w:ind w:firstLineChars="0" w:firstLine="0"/>
            <w:jc w:val="center"/>
            <w:rPr>
              <w:rFonts w:eastAsia="黑体" w:cs="黑体"/>
              <w:szCs w:val="32"/>
            </w:rPr>
          </w:pPr>
          <w:r>
            <w:rPr>
              <w:rFonts w:eastAsia="黑体" w:cs="黑体" w:hint="eastAsia"/>
              <w:szCs w:val="32"/>
            </w:rPr>
            <w:t>目</w:t>
          </w:r>
          <w:r>
            <w:rPr>
              <w:rFonts w:eastAsia="黑体" w:cs="黑体" w:hint="eastAsia"/>
              <w:szCs w:val="32"/>
            </w:rPr>
            <w:t xml:space="preserve">  </w:t>
          </w:r>
          <w:r>
            <w:rPr>
              <w:rFonts w:eastAsia="黑体" w:cs="黑体" w:hint="eastAsia"/>
              <w:szCs w:val="32"/>
            </w:rPr>
            <w:t>录</w:t>
          </w:r>
        </w:p>
        <w:p w14:paraId="7778C525" w14:textId="77777777" w:rsidR="00A739F2" w:rsidRDefault="00597D48">
          <w:pPr>
            <w:pStyle w:val="TOC1"/>
            <w:tabs>
              <w:tab w:val="clear" w:pos="8306"/>
              <w:tab w:val="right" w:leader="dot" w:pos="8845"/>
            </w:tabs>
          </w:pPr>
          <w:r>
            <w:rPr>
              <w:rFonts w:eastAsia="Arial" w:cs="Arial"/>
              <w:color w:val="000000"/>
              <w:sz w:val="21"/>
              <w:szCs w:val="21"/>
            </w:rPr>
            <w:fldChar w:fldCharType="begin"/>
          </w:r>
          <w:r>
            <w:rPr>
              <w:rFonts w:eastAsia="Arial" w:cs="Arial"/>
              <w:color w:val="000000"/>
              <w:sz w:val="21"/>
              <w:szCs w:val="21"/>
            </w:rPr>
            <w:instrText xml:space="preserve">TOC \o "1-2" \h \u </w:instrText>
          </w:r>
          <w:r>
            <w:rPr>
              <w:rFonts w:eastAsia="Arial" w:cs="Arial"/>
              <w:color w:val="000000"/>
              <w:sz w:val="21"/>
              <w:szCs w:val="21"/>
            </w:rPr>
            <w:fldChar w:fldCharType="separate"/>
          </w:r>
          <w:hyperlink w:anchor="_Toc17483" w:history="1">
            <w:r>
              <w:rPr>
                <w:rFonts w:eastAsia="黑体" w:cs="Times New Roman"/>
                <w:szCs w:val="32"/>
              </w:rPr>
              <w:t>一</w:t>
            </w:r>
            <w:r>
              <w:rPr>
                <w:rFonts w:eastAsia="黑体" w:cs="黑体" w:hint="eastAsia"/>
                <w:szCs w:val="32"/>
              </w:rPr>
              <w:t>、规划编制概况</w:t>
            </w:r>
            <w:r>
              <w:tab/>
            </w:r>
            <w:r>
              <w:fldChar w:fldCharType="begin"/>
            </w:r>
            <w:r>
              <w:instrText xml:space="preserve"> PAGEREF _Toc17483 \h </w:instrText>
            </w:r>
            <w:r>
              <w:fldChar w:fldCharType="separate"/>
            </w:r>
            <w:r>
              <w:t>4</w:t>
            </w:r>
            <w:r>
              <w:fldChar w:fldCharType="end"/>
            </w:r>
          </w:hyperlink>
        </w:p>
        <w:p w14:paraId="6F3017EC" w14:textId="77777777" w:rsidR="00A739F2" w:rsidRDefault="00597D48">
          <w:pPr>
            <w:pStyle w:val="TOC2"/>
            <w:tabs>
              <w:tab w:val="right" w:leader="dot" w:pos="8845"/>
            </w:tabs>
            <w:ind w:firstLine="600"/>
          </w:pPr>
          <w:hyperlink w:anchor="_Toc22282" w:history="1">
            <w:r>
              <w:rPr>
                <w:rFonts w:cs="楷体" w:hint="eastAsia"/>
              </w:rPr>
              <w:t>（一）规划背景</w:t>
            </w:r>
            <w:r>
              <w:tab/>
            </w:r>
            <w:r>
              <w:fldChar w:fldCharType="begin"/>
            </w:r>
            <w:r>
              <w:instrText xml:space="preserve"> PAGEREF _Toc22282 \h </w:instrText>
            </w:r>
            <w:r>
              <w:fldChar w:fldCharType="separate"/>
            </w:r>
            <w:r>
              <w:t>4</w:t>
            </w:r>
            <w:r>
              <w:fldChar w:fldCharType="end"/>
            </w:r>
          </w:hyperlink>
        </w:p>
        <w:p w14:paraId="23129FC3" w14:textId="77777777" w:rsidR="00A739F2" w:rsidRDefault="00597D48">
          <w:pPr>
            <w:pStyle w:val="TOC2"/>
            <w:tabs>
              <w:tab w:val="right" w:leader="dot" w:pos="8845"/>
            </w:tabs>
            <w:ind w:firstLine="600"/>
          </w:pPr>
          <w:hyperlink w:anchor="_Toc1899" w:history="1">
            <w:r>
              <w:rPr>
                <w:rFonts w:cs="楷体" w:hint="eastAsia"/>
              </w:rPr>
              <w:t>（二）编制依据</w:t>
            </w:r>
            <w:r>
              <w:tab/>
            </w:r>
            <w:r>
              <w:fldChar w:fldCharType="begin"/>
            </w:r>
            <w:r>
              <w:instrText xml:space="preserve"> PAGEREF _Toc1899 \h </w:instrText>
            </w:r>
            <w:r>
              <w:fldChar w:fldCharType="separate"/>
            </w:r>
            <w:r>
              <w:t>6</w:t>
            </w:r>
            <w:r>
              <w:fldChar w:fldCharType="end"/>
            </w:r>
          </w:hyperlink>
        </w:p>
        <w:p w14:paraId="1C87CC64" w14:textId="77777777" w:rsidR="00A739F2" w:rsidRDefault="00597D48">
          <w:pPr>
            <w:pStyle w:val="TOC2"/>
            <w:tabs>
              <w:tab w:val="right" w:leader="dot" w:pos="8845"/>
            </w:tabs>
            <w:ind w:firstLine="600"/>
          </w:pPr>
          <w:hyperlink w:anchor="_Toc16794" w:history="1">
            <w:r>
              <w:rPr>
                <w:rFonts w:cs="楷体" w:hint="eastAsia"/>
              </w:rPr>
              <w:t>（三）规划范围</w:t>
            </w:r>
            <w:r>
              <w:tab/>
            </w:r>
            <w:r>
              <w:fldChar w:fldCharType="begin"/>
            </w:r>
            <w:r>
              <w:instrText xml:space="preserve"> PAGEREF _Toc16794 \h </w:instrText>
            </w:r>
            <w:r>
              <w:fldChar w:fldCharType="separate"/>
            </w:r>
            <w:r>
              <w:t>11</w:t>
            </w:r>
            <w:r>
              <w:fldChar w:fldCharType="end"/>
            </w:r>
          </w:hyperlink>
        </w:p>
        <w:p w14:paraId="20B8D5EC" w14:textId="77777777" w:rsidR="00A739F2" w:rsidRDefault="00597D48">
          <w:pPr>
            <w:pStyle w:val="TOC2"/>
            <w:tabs>
              <w:tab w:val="right" w:leader="dot" w:pos="8845"/>
            </w:tabs>
            <w:ind w:firstLine="600"/>
          </w:pPr>
          <w:hyperlink w:anchor="_Toc24967" w:history="1">
            <w:r>
              <w:rPr>
                <w:rFonts w:cs="楷体" w:hint="eastAsia"/>
              </w:rPr>
              <w:t>（四）规划期限</w:t>
            </w:r>
            <w:r>
              <w:tab/>
            </w:r>
            <w:r>
              <w:fldChar w:fldCharType="begin"/>
            </w:r>
            <w:r>
              <w:instrText xml:space="preserve"> PAGEREF _Toc24967 \h </w:instrText>
            </w:r>
            <w:r>
              <w:fldChar w:fldCharType="separate"/>
            </w:r>
            <w:r>
              <w:t>11</w:t>
            </w:r>
            <w:r>
              <w:fldChar w:fldCharType="end"/>
            </w:r>
          </w:hyperlink>
        </w:p>
        <w:p w14:paraId="6DF37E0C" w14:textId="77777777" w:rsidR="00A739F2" w:rsidRDefault="00597D48">
          <w:pPr>
            <w:pStyle w:val="TOC1"/>
            <w:tabs>
              <w:tab w:val="clear" w:pos="8306"/>
              <w:tab w:val="right" w:leader="dot" w:pos="8845"/>
            </w:tabs>
          </w:pPr>
          <w:hyperlink w:anchor="_Toc17661" w:history="1">
            <w:r>
              <w:rPr>
                <w:rFonts w:eastAsia="黑体" w:cs="黑体" w:hint="eastAsia"/>
                <w:szCs w:val="32"/>
              </w:rPr>
              <w:t>二、指导方针和发展目标</w:t>
            </w:r>
            <w:r>
              <w:tab/>
            </w:r>
            <w:r>
              <w:fldChar w:fldCharType="begin"/>
            </w:r>
            <w:r>
              <w:instrText xml:space="preserve"> PAGEREF _Toc17661 \h </w:instrText>
            </w:r>
            <w:r>
              <w:fldChar w:fldCharType="separate"/>
            </w:r>
            <w:r>
              <w:t>11</w:t>
            </w:r>
            <w:r>
              <w:fldChar w:fldCharType="end"/>
            </w:r>
          </w:hyperlink>
        </w:p>
        <w:p w14:paraId="31377EDB" w14:textId="77777777" w:rsidR="00A739F2" w:rsidRDefault="00597D48">
          <w:pPr>
            <w:pStyle w:val="TOC2"/>
            <w:tabs>
              <w:tab w:val="right" w:leader="dot" w:pos="8845"/>
            </w:tabs>
            <w:ind w:firstLine="600"/>
          </w:pPr>
          <w:hyperlink w:anchor="_Toc1239" w:history="1">
            <w:r>
              <w:rPr>
                <w:rFonts w:cs="楷体" w:hint="eastAsia"/>
              </w:rPr>
              <w:t>（一）指导思想</w:t>
            </w:r>
            <w:r>
              <w:tab/>
            </w:r>
            <w:r>
              <w:fldChar w:fldCharType="begin"/>
            </w:r>
            <w:r>
              <w:instrText xml:space="preserve"> PAGEREF _Toc1239 \h </w:instrText>
            </w:r>
            <w:r>
              <w:fldChar w:fldCharType="separate"/>
            </w:r>
            <w:r>
              <w:t>11</w:t>
            </w:r>
            <w:r>
              <w:fldChar w:fldCharType="end"/>
            </w:r>
          </w:hyperlink>
        </w:p>
        <w:p w14:paraId="390A71FF" w14:textId="77777777" w:rsidR="00A739F2" w:rsidRDefault="00597D48">
          <w:pPr>
            <w:pStyle w:val="TOC2"/>
            <w:tabs>
              <w:tab w:val="right" w:leader="dot" w:pos="8845"/>
            </w:tabs>
            <w:ind w:firstLine="600"/>
          </w:pPr>
          <w:hyperlink w:anchor="_Toc10952" w:history="1">
            <w:r>
              <w:rPr>
                <w:rFonts w:cs="楷体" w:hint="eastAsia"/>
              </w:rPr>
              <w:t>（二）基本原则</w:t>
            </w:r>
            <w:r>
              <w:tab/>
            </w:r>
            <w:r>
              <w:fldChar w:fldCharType="begin"/>
            </w:r>
            <w:r>
              <w:instrText xml:space="preserve"> PAGEREF _Toc10952 \h </w:instrText>
            </w:r>
            <w:r>
              <w:fldChar w:fldCharType="separate"/>
            </w:r>
            <w:r>
              <w:t>12</w:t>
            </w:r>
            <w:r>
              <w:fldChar w:fldCharType="end"/>
            </w:r>
          </w:hyperlink>
        </w:p>
        <w:p w14:paraId="60C426B1" w14:textId="77777777" w:rsidR="00A739F2" w:rsidRDefault="00597D48">
          <w:pPr>
            <w:pStyle w:val="TOC2"/>
            <w:tabs>
              <w:tab w:val="right" w:leader="dot" w:pos="8845"/>
            </w:tabs>
            <w:ind w:firstLine="600"/>
          </w:pPr>
          <w:hyperlink w:anchor="_Toc23530" w:history="1">
            <w:r>
              <w:rPr>
                <w:rFonts w:cs="楷体" w:hint="eastAsia"/>
              </w:rPr>
              <w:t>（三）发展目标</w:t>
            </w:r>
            <w:r>
              <w:tab/>
            </w:r>
            <w:r>
              <w:fldChar w:fldCharType="begin"/>
            </w:r>
            <w:r>
              <w:instrText xml:space="preserve"> PAGEREF _Toc23530 \h </w:instrText>
            </w:r>
            <w:r>
              <w:fldChar w:fldCharType="separate"/>
            </w:r>
            <w:r>
              <w:t>14</w:t>
            </w:r>
            <w:r>
              <w:fldChar w:fldCharType="end"/>
            </w:r>
          </w:hyperlink>
        </w:p>
        <w:p w14:paraId="600D3315" w14:textId="77777777" w:rsidR="00A739F2" w:rsidRDefault="00597D48">
          <w:pPr>
            <w:pStyle w:val="TOC1"/>
            <w:tabs>
              <w:tab w:val="clear" w:pos="8306"/>
              <w:tab w:val="right" w:leader="dot" w:pos="8845"/>
            </w:tabs>
          </w:pPr>
          <w:hyperlink w:anchor="_Toc8607" w:history="1">
            <w:r>
              <w:rPr>
                <w:rFonts w:eastAsia="黑体" w:cs="黑体" w:hint="eastAsia"/>
                <w:szCs w:val="32"/>
              </w:rPr>
              <w:t>三</w:t>
            </w:r>
            <w:r>
              <w:rPr>
                <w:rFonts w:eastAsia="黑体" w:cs="黑体"/>
                <w:szCs w:val="32"/>
              </w:rPr>
              <w:t>、发展基础和发展形势</w:t>
            </w:r>
            <w:r>
              <w:tab/>
            </w:r>
            <w:r>
              <w:fldChar w:fldCharType="begin"/>
            </w:r>
            <w:r>
              <w:instrText xml:space="preserve"> PAGEREF _Toc8607 \h </w:instrText>
            </w:r>
            <w:r>
              <w:fldChar w:fldCharType="separate"/>
            </w:r>
            <w:r>
              <w:t>14</w:t>
            </w:r>
            <w:r>
              <w:fldChar w:fldCharType="end"/>
            </w:r>
          </w:hyperlink>
        </w:p>
        <w:p w14:paraId="756DA436" w14:textId="77777777" w:rsidR="00A739F2" w:rsidRDefault="00597D48">
          <w:pPr>
            <w:pStyle w:val="TOC2"/>
            <w:tabs>
              <w:tab w:val="right" w:leader="dot" w:pos="8845"/>
            </w:tabs>
            <w:ind w:firstLine="600"/>
          </w:pPr>
          <w:hyperlink w:anchor="_Toc24987" w:history="1">
            <w:r>
              <w:rPr>
                <w:rFonts w:eastAsia="方正楷体_GB2312" w:cs="方正楷体_GB2312" w:hint="eastAsia"/>
              </w:rPr>
              <w:t>（一）康巴什区自然环境和社会经济现状</w:t>
            </w:r>
            <w:r>
              <w:tab/>
            </w:r>
            <w:r>
              <w:fldChar w:fldCharType="begin"/>
            </w:r>
            <w:r>
              <w:instrText xml:space="preserve"> PAGEREF _Toc24987 \h </w:instrText>
            </w:r>
            <w:r>
              <w:fldChar w:fldCharType="separate"/>
            </w:r>
            <w:r>
              <w:t>14</w:t>
            </w:r>
            <w:r>
              <w:fldChar w:fldCharType="end"/>
            </w:r>
          </w:hyperlink>
        </w:p>
        <w:p w14:paraId="0A41A7ED" w14:textId="77777777" w:rsidR="00A739F2" w:rsidRDefault="00597D48">
          <w:pPr>
            <w:pStyle w:val="TOC2"/>
            <w:tabs>
              <w:tab w:val="right" w:leader="dot" w:pos="8845"/>
            </w:tabs>
            <w:ind w:firstLine="600"/>
          </w:pPr>
          <w:hyperlink w:anchor="_Toc4130" w:history="1">
            <w:r>
              <w:rPr>
                <w:rFonts w:cs="楷体" w:hint="eastAsia"/>
              </w:rPr>
              <w:t>（二）新能源发展现状</w:t>
            </w:r>
            <w:r>
              <w:tab/>
            </w:r>
            <w:r>
              <w:fldChar w:fldCharType="begin"/>
            </w:r>
            <w:r>
              <w:instrText xml:space="preserve"> PAGEREF _Toc4130 \h </w:instrText>
            </w:r>
            <w:r>
              <w:fldChar w:fldCharType="separate"/>
            </w:r>
            <w:r>
              <w:t>16</w:t>
            </w:r>
            <w:r>
              <w:fldChar w:fldCharType="end"/>
            </w:r>
          </w:hyperlink>
        </w:p>
        <w:p w14:paraId="13D3EFC4" w14:textId="77777777" w:rsidR="00A739F2" w:rsidRDefault="00597D48">
          <w:pPr>
            <w:pStyle w:val="TOC2"/>
            <w:tabs>
              <w:tab w:val="right" w:leader="dot" w:pos="8845"/>
            </w:tabs>
            <w:ind w:firstLine="600"/>
          </w:pPr>
          <w:hyperlink w:anchor="_Toc28101" w:history="1">
            <w:r>
              <w:rPr>
                <w:rFonts w:cs="楷体" w:hint="eastAsia"/>
              </w:rPr>
              <w:t>（三）风光资源禀赋</w:t>
            </w:r>
            <w:r>
              <w:tab/>
            </w:r>
            <w:r>
              <w:fldChar w:fldCharType="begin"/>
            </w:r>
            <w:r>
              <w:instrText xml:space="preserve"> PAGEREF _Toc28101 \h </w:instrText>
            </w:r>
            <w:r>
              <w:fldChar w:fldCharType="separate"/>
            </w:r>
            <w:r>
              <w:t>16</w:t>
            </w:r>
            <w:r>
              <w:fldChar w:fldCharType="end"/>
            </w:r>
          </w:hyperlink>
        </w:p>
        <w:p w14:paraId="44A1DC50" w14:textId="77777777" w:rsidR="00A739F2" w:rsidRDefault="00597D48">
          <w:pPr>
            <w:pStyle w:val="TOC2"/>
            <w:tabs>
              <w:tab w:val="right" w:leader="dot" w:pos="8845"/>
            </w:tabs>
            <w:ind w:firstLine="600"/>
          </w:pPr>
          <w:hyperlink w:anchor="_Toc2918" w:history="1">
            <w:r>
              <w:rPr>
                <w:rFonts w:cs="楷体" w:hint="eastAsia"/>
              </w:rPr>
              <w:t>（四）电网条件</w:t>
            </w:r>
            <w:r>
              <w:tab/>
            </w:r>
            <w:r>
              <w:fldChar w:fldCharType="begin"/>
            </w:r>
            <w:r>
              <w:instrText xml:space="preserve"> PAGERE</w:instrText>
            </w:r>
            <w:r>
              <w:instrText xml:space="preserve">F _Toc2918 \h </w:instrText>
            </w:r>
            <w:r>
              <w:fldChar w:fldCharType="separate"/>
            </w:r>
            <w:r>
              <w:t>26</w:t>
            </w:r>
            <w:r>
              <w:fldChar w:fldCharType="end"/>
            </w:r>
          </w:hyperlink>
        </w:p>
        <w:p w14:paraId="108DC60D" w14:textId="77777777" w:rsidR="00A739F2" w:rsidRDefault="00597D48">
          <w:pPr>
            <w:pStyle w:val="TOC2"/>
            <w:tabs>
              <w:tab w:val="right" w:leader="dot" w:pos="8845"/>
            </w:tabs>
            <w:ind w:firstLine="600"/>
          </w:pPr>
          <w:hyperlink w:anchor="_Toc30801" w:history="1">
            <w:r>
              <w:rPr>
                <w:rFonts w:cs="楷体" w:hint="eastAsia"/>
              </w:rPr>
              <w:t>（五）土地资源条件</w:t>
            </w:r>
            <w:r>
              <w:tab/>
            </w:r>
            <w:r>
              <w:fldChar w:fldCharType="begin"/>
            </w:r>
            <w:r>
              <w:instrText xml:space="preserve"> PAGEREF _Toc30801 \h </w:instrText>
            </w:r>
            <w:r>
              <w:fldChar w:fldCharType="separate"/>
            </w:r>
            <w:r>
              <w:t>30</w:t>
            </w:r>
            <w:r>
              <w:fldChar w:fldCharType="end"/>
            </w:r>
          </w:hyperlink>
        </w:p>
        <w:p w14:paraId="29F3A429" w14:textId="77777777" w:rsidR="00A739F2" w:rsidRDefault="00597D48">
          <w:pPr>
            <w:pStyle w:val="TOC2"/>
            <w:tabs>
              <w:tab w:val="right" w:leader="dot" w:pos="8845"/>
            </w:tabs>
            <w:ind w:firstLine="600"/>
          </w:pPr>
          <w:hyperlink w:anchor="_Toc25562" w:history="1">
            <w:r>
              <w:rPr>
                <w:rFonts w:cs="楷体" w:hint="eastAsia"/>
              </w:rPr>
              <w:t>（六）发展形势</w:t>
            </w:r>
            <w:r>
              <w:tab/>
            </w:r>
            <w:r>
              <w:fldChar w:fldCharType="begin"/>
            </w:r>
            <w:r>
              <w:instrText xml:space="preserve"> PAGEREF _Toc25562 \h </w:instrText>
            </w:r>
            <w:r>
              <w:fldChar w:fldCharType="separate"/>
            </w:r>
            <w:r>
              <w:t>31</w:t>
            </w:r>
            <w:r>
              <w:fldChar w:fldCharType="end"/>
            </w:r>
          </w:hyperlink>
        </w:p>
        <w:p w14:paraId="02ED7EA8" w14:textId="77777777" w:rsidR="00A739F2" w:rsidRDefault="00597D48">
          <w:pPr>
            <w:pStyle w:val="TOC1"/>
            <w:tabs>
              <w:tab w:val="clear" w:pos="8306"/>
              <w:tab w:val="right" w:leader="dot" w:pos="8845"/>
            </w:tabs>
          </w:pPr>
          <w:hyperlink w:anchor="_Toc16214" w:history="1">
            <w:r>
              <w:rPr>
                <w:rFonts w:eastAsia="黑体" w:cs="黑体" w:hint="eastAsia"/>
                <w:szCs w:val="32"/>
              </w:rPr>
              <w:t>四、总体布局</w:t>
            </w:r>
            <w:r>
              <w:tab/>
            </w:r>
            <w:r>
              <w:fldChar w:fldCharType="begin"/>
            </w:r>
            <w:r>
              <w:instrText xml:space="preserve"> PAGEREF _Toc16214 \h </w:instrText>
            </w:r>
            <w:r>
              <w:fldChar w:fldCharType="separate"/>
            </w:r>
            <w:r>
              <w:t>32</w:t>
            </w:r>
            <w:r>
              <w:fldChar w:fldCharType="end"/>
            </w:r>
          </w:hyperlink>
        </w:p>
        <w:p w14:paraId="6C20AAA0" w14:textId="77777777" w:rsidR="00A739F2" w:rsidRDefault="00597D48">
          <w:pPr>
            <w:pStyle w:val="TOC2"/>
            <w:tabs>
              <w:tab w:val="right" w:leader="dot" w:pos="8845"/>
            </w:tabs>
            <w:ind w:firstLine="600"/>
          </w:pPr>
          <w:hyperlink w:anchor="_Toc29644" w:history="1">
            <w:r>
              <w:rPr>
                <w:rFonts w:hint="eastAsia"/>
              </w:rPr>
              <w:t>（一）布局</w:t>
            </w:r>
            <w:r>
              <w:rPr>
                <w:rFonts w:cs="仿宋_GB2312" w:hint="eastAsia"/>
              </w:rPr>
              <w:t>原则</w:t>
            </w:r>
            <w:r>
              <w:tab/>
            </w:r>
            <w:r>
              <w:fldChar w:fldCharType="begin"/>
            </w:r>
            <w:r>
              <w:instrText xml:space="preserve"> PAGEREF _Toc29644 \h </w:instrText>
            </w:r>
            <w:r>
              <w:fldChar w:fldCharType="separate"/>
            </w:r>
            <w:r>
              <w:t>32</w:t>
            </w:r>
            <w:r>
              <w:fldChar w:fldCharType="end"/>
            </w:r>
          </w:hyperlink>
        </w:p>
        <w:p w14:paraId="3C3EB3CA" w14:textId="77777777" w:rsidR="00A739F2" w:rsidRDefault="00597D48">
          <w:pPr>
            <w:pStyle w:val="TOC2"/>
            <w:tabs>
              <w:tab w:val="right" w:leader="dot" w:pos="8845"/>
            </w:tabs>
            <w:ind w:firstLine="600"/>
          </w:pPr>
          <w:hyperlink w:anchor="_Toc24085" w:history="1">
            <w:r>
              <w:rPr>
                <w:rFonts w:hint="eastAsia"/>
              </w:rPr>
              <w:t>（二）布局成果</w:t>
            </w:r>
            <w:r>
              <w:tab/>
            </w:r>
            <w:r>
              <w:fldChar w:fldCharType="begin"/>
            </w:r>
            <w:r>
              <w:instrText xml:space="preserve"> PAGEREF _Toc24085 \h </w:instrText>
            </w:r>
            <w:r>
              <w:fldChar w:fldCharType="separate"/>
            </w:r>
            <w:r>
              <w:t>35</w:t>
            </w:r>
            <w:r>
              <w:fldChar w:fldCharType="end"/>
            </w:r>
          </w:hyperlink>
        </w:p>
        <w:p w14:paraId="4C8419EF" w14:textId="77777777" w:rsidR="00A739F2" w:rsidRDefault="00597D48">
          <w:pPr>
            <w:pStyle w:val="TOC2"/>
            <w:tabs>
              <w:tab w:val="right" w:leader="dot" w:pos="8845"/>
            </w:tabs>
            <w:ind w:firstLine="600"/>
          </w:pPr>
          <w:hyperlink w:anchor="_Toc13035" w:history="1">
            <w:r>
              <w:rPr>
                <w:rFonts w:hint="eastAsia"/>
              </w:rPr>
              <w:t>（三）建设时序</w:t>
            </w:r>
            <w:r>
              <w:tab/>
            </w:r>
            <w:r>
              <w:fldChar w:fldCharType="begin"/>
            </w:r>
            <w:r>
              <w:instrText xml:space="preserve"> PAGEREF _Toc13035 \h </w:instrText>
            </w:r>
            <w:r>
              <w:fldChar w:fldCharType="separate"/>
            </w:r>
            <w:r>
              <w:t>37</w:t>
            </w:r>
            <w:r>
              <w:fldChar w:fldCharType="end"/>
            </w:r>
          </w:hyperlink>
        </w:p>
        <w:p w14:paraId="02E3BF98" w14:textId="77777777" w:rsidR="00A739F2" w:rsidRDefault="00597D48">
          <w:pPr>
            <w:pStyle w:val="TOC1"/>
            <w:tabs>
              <w:tab w:val="clear" w:pos="8306"/>
              <w:tab w:val="right" w:leader="dot" w:pos="8845"/>
            </w:tabs>
          </w:pPr>
          <w:hyperlink w:anchor="_Toc14666" w:history="1">
            <w:r>
              <w:rPr>
                <w:rFonts w:eastAsia="黑体" w:cs="黑体" w:hint="eastAsia"/>
                <w:szCs w:val="32"/>
              </w:rPr>
              <w:t>五、加大集中式新能源开发力度</w:t>
            </w:r>
            <w:r>
              <w:tab/>
            </w:r>
            <w:r>
              <w:fldChar w:fldCharType="begin"/>
            </w:r>
            <w:r>
              <w:instrText xml:space="preserve"> PAGEREF _Toc14666 \h </w:instrText>
            </w:r>
            <w:r>
              <w:fldChar w:fldCharType="separate"/>
            </w:r>
            <w:r>
              <w:t>38</w:t>
            </w:r>
            <w:r>
              <w:fldChar w:fldCharType="end"/>
            </w:r>
          </w:hyperlink>
        </w:p>
        <w:p w14:paraId="7639CE8E" w14:textId="77777777" w:rsidR="00A739F2" w:rsidRDefault="00597D48">
          <w:pPr>
            <w:pStyle w:val="TOC2"/>
            <w:tabs>
              <w:tab w:val="right" w:leader="dot" w:pos="8845"/>
            </w:tabs>
            <w:ind w:firstLine="600"/>
          </w:pPr>
          <w:hyperlink w:anchor="_Toc6070" w:history="1">
            <w:r>
              <w:rPr>
                <w:rFonts w:hint="eastAsia"/>
              </w:rPr>
              <w:t>（一）</w:t>
            </w:r>
            <w:r>
              <w:rPr>
                <w:rFonts w:hint="eastAsia"/>
              </w:rPr>
              <w:t>1#</w:t>
            </w:r>
            <w:r>
              <w:rPr>
                <w:rFonts w:hint="eastAsia"/>
              </w:rPr>
              <w:t>风光同场项目场址</w:t>
            </w:r>
            <w:r>
              <w:tab/>
            </w:r>
            <w:r>
              <w:fldChar w:fldCharType="begin"/>
            </w:r>
            <w:r>
              <w:instrText xml:space="preserve"> PAGEREF _Toc6070 \h </w:instrText>
            </w:r>
            <w:r>
              <w:fldChar w:fldCharType="separate"/>
            </w:r>
            <w:r>
              <w:t>38</w:t>
            </w:r>
            <w:r>
              <w:fldChar w:fldCharType="end"/>
            </w:r>
          </w:hyperlink>
        </w:p>
        <w:p w14:paraId="22B62177" w14:textId="77777777" w:rsidR="00A739F2" w:rsidRDefault="00597D48">
          <w:pPr>
            <w:pStyle w:val="TOC2"/>
            <w:tabs>
              <w:tab w:val="right" w:leader="dot" w:pos="8845"/>
            </w:tabs>
            <w:ind w:firstLine="600"/>
          </w:pPr>
          <w:hyperlink w:anchor="_Toc26440" w:history="1">
            <w:r>
              <w:rPr>
                <w:rFonts w:hint="eastAsia"/>
              </w:rPr>
              <w:t>（二）</w:t>
            </w:r>
            <w:r>
              <w:rPr>
                <w:rFonts w:hint="eastAsia"/>
              </w:rPr>
              <w:t>1#</w:t>
            </w:r>
            <w:r>
              <w:rPr>
                <w:rFonts w:hint="eastAsia"/>
              </w:rPr>
              <w:t>风电场场址</w:t>
            </w:r>
            <w:r>
              <w:tab/>
            </w:r>
            <w:r>
              <w:fldChar w:fldCharType="begin"/>
            </w:r>
            <w:r>
              <w:instrText xml:space="preserve"> PAGEREF _Toc26440 \h </w:instrText>
            </w:r>
            <w:r>
              <w:fldChar w:fldCharType="separate"/>
            </w:r>
            <w:r>
              <w:t>39</w:t>
            </w:r>
            <w:r>
              <w:fldChar w:fldCharType="end"/>
            </w:r>
          </w:hyperlink>
        </w:p>
        <w:p w14:paraId="402E90CC" w14:textId="77777777" w:rsidR="00A739F2" w:rsidRDefault="00597D48">
          <w:pPr>
            <w:pStyle w:val="TOC2"/>
            <w:tabs>
              <w:tab w:val="right" w:leader="dot" w:pos="8845"/>
            </w:tabs>
            <w:ind w:firstLine="600"/>
          </w:pPr>
          <w:hyperlink w:anchor="_Toc14787" w:history="1">
            <w:r>
              <w:rPr>
                <w:rFonts w:hint="eastAsia"/>
              </w:rPr>
              <w:t>（三）</w:t>
            </w:r>
            <w:r>
              <w:rPr>
                <w:rFonts w:hint="eastAsia"/>
              </w:rPr>
              <w:t>1#</w:t>
            </w:r>
            <w:r>
              <w:rPr>
                <w:rFonts w:hint="eastAsia"/>
              </w:rPr>
              <w:t>光伏治沙项目场址</w:t>
            </w:r>
            <w:r>
              <w:tab/>
            </w:r>
            <w:r>
              <w:fldChar w:fldCharType="begin"/>
            </w:r>
            <w:r>
              <w:instrText xml:space="preserve"> PAGEREF _Toc14787 \h </w:instrText>
            </w:r>
            <w:r>
              <w:fldChar w:fldCharType="separate"/>
            </w:r>
            <w:r>
              <w:t>40</w:t>
            </w:r>
            <w:r>
              <w:fldChar w:fldCharType="end"/>
            </w:r>
          </w:hyperlink>
        </w:p>
        <w:p w14:paraId="5575AF49" w14:textId="77777777" w:rsidR="00A739F2" w:rsidRDefault="00597D48">
          <w:pPr>
            <w:pStyle w:val="TOC2"/>
            <w:tabs>
              <w:tab w:val="right" w:leader="dot" w:pos="8845"/>
            </w:tabs>
            <w:ind w:firstLine="600"/>
          </w:pPr>
          <w:hyperlink w:anchor="_Toc14764" w:history="1">
            <w:r>
              <w:rPr>
                <w:rFonts w:hint="eastAsia"/>
              </w:rPr>
              <w:t>（四）</w:t>
            </w:r>
            <w:r>
              <w:rPr>
                <w:rFonts w:hint="eastAsia"/>
              </w:rPr>
              <w:t>2#</w:t>
            </w:r>
            <w:r>
              <w:rPr>
                <w:rFonts w:hint="eastAsia"/>
              </w:rPr>
              <w:t>、</w:t>
            </w:r>
            <w:r>
              <w:rPr>
                <w:rFonts w:hint="eastAsia"/>
              </w:rPr>
              <w:t>3#</w:t>
            </w:r>
            <w:r>
              <w:rPr>
                <w:rFonts w:hint="eastAsia"/>
              </w:rPr>
              <w:t>、</w:t>
            </w:r>
            <w:r>
              <w:rPr>
                <w:rFonts w:hint="eastAsia"/>
              </w:rPr>
              <w:t>4#</w:t>
            </w:r>
            <w:r>
              <w:rPr>
                <w:rFonts w:hint="eastAsia"/>
              </w:rPr>
              <w:t>风光同场场址</w:t>
            </w:r>
            <w:r>
              <w:tab/>
            </w:r>
            <w:r>
              <w:fldChar w:fldCharType="begin"/>
            </w:r>
            <w:r>
              <w:instrText xml:space="preserve"> PAGEREF _Toc1</w:instrText>
            </w:r>
            <w:r>
              <w:instrText xml:space="preserve">4764 \h </w:instrText>
            </w:r>
            <w:r>
              <w:fldChar w:fldCharType="separate"/>
            </w:r>
            <w:r>
              <w:t>42</w:t>
            </w:r>
            <w:r>
              <w:fldChar w:fldCharType="end"/>
            </w:r>
          </w:hyperlink>
        </w:p>
        <w:p w14:paraId="1ED260CF" w14:textId="77777777" w:rsidR="00A739F2" w:rsidRDefault="00597D48">
          <w:pPr>
            <w:pStyle w:val="TOC1"/>
            <w:tabs>
              <w:tab w:val="clear" w:pos="8306"/>
              <w:tab w:val="right" w:leader="dot" w:pos="8845"/>
            </w:tabs>
          </w:pPr>
          <w:hyperlink w:anchor="_Toc25363" w:history="1">
            <w:r>
              <w:rPr>
                <w:rFonts w:eastAsia="黑体" w:cs="黑体" w:hint="eastAsia"/>
                <w:szCs w:val="32"/>
              </w:rPr>
              <w:t>六、因地制宜发展分布式新能源</w:t>
            </w:r>
            <w:r>
              <w:tab/>
            </w:r>
            <w:r>
              <w:fldChar w:fldCharType="begin"/>
            </w:r>
            <w:r>
              <w:instrText xml:space="preserve"> PAGEREF _Toc25363 \h </w:instrText>
            </w:r>
            <w:r>
              <w:fldChar w:fldCharType="separate"/>
            </w:r>
            <w:r>
              <w:t>45</w:t>
            </w:r>
            <w:r>
              <w:fldChar w:fldCharType="end"/>
            </w:r>
          </w:hyperlink>
        </w:p>
        <w:p w14:paraId="07D89E26" w14:textId="77777777" w:rsidR="00A739F2" w:rsidRDefault="00597D48">
          <w:pPr>
            <w:pStyle w:val="TOC2"/>
            <w:tabs>
              <w:tab w:val="right" w:leader="dot" w:pos="8845"/>
            </w:tabs>
            <w:ind w:firstLine="600"/>
          </w:pPr>
          <w:hyperlink w:anchor="_Toc32231" w:history="1">
            <w:r>
              <w:rPr>
                <w:rFonts w:hint="eastAsia"/>
              </w:rPr>
              <w:t>（一）结合城市基础设施建设分布式新能源项</w:t>
            </w:r>
            <w:r>
              <w:rPr>
                <w:rFonts w:hint="eastAsia"/>
              </w:rPr>
              <w:t>目</w:t>
            </w:r>
            <w:r>
              <w:tab/>
            </w:r>
            <w:r>
              <w:fldChar w:fldCharType="begin"/>
            </w:r>
            <w:r>
              <w:instrText xml:space="preserve"> PAGEREF _Toc32231 \h </w:instrText>
            </w:r>
            <w:r>
              <w:fldChar w:fldCharType="separate"/>
            </w:r>
            <w:r>
              <w:t>45</w:t>
            </w:r>
            <w:r>
              <w:fldChar w:fldCharType="end"/>
            </w:r>
          </w:hyperlink>
        </w:p>
        <w:p w14:paraId="1C37CD15" w14:textId="77777777" w:rsidR="00A739F2" w:rsidRDefault="00597D48">
          <w:pPr>
            <w:pStyle w:val="TOC2"/>
            <w:tabs>
              <w:tab w:val="right" w:leader="dot" w:pos="8845"/>
            </w:tabs>
            <w:ind w:firstLine="600"/>
          </w:pPr>
          <w:hyperlink w:anchor="_Toc28925" w:history="1">
            <w:r>
              <w:rPr>
                <w:rFonts w:hint="eastAsia"/>
              </w:rPr>
              <w:t>（二）积极建设康巴什区整区光伏项目</w:t>
            </w:r>
            <w:r>
              <w:tab/>
            </w:r>
            <w:r>
              <w:fldChar w:fldCharType="begin"/>
            </w:r>
            <w:r>
              <w:instrText xml:space="preserve"> PAGEREF _Toc28925 \h </w:instrText>
            </w:r>
            <w:r>
              <w:fldChar w:fldCharType="separate"/>
            </w:r>
            <w:r>
              <w:t>47</w:t>
            </w:r>
            <w:r>
              <w:fldChar w:fldCharType="end"/>
            </w:r>
          </w:hyperlink>
        </w:p>
        <w:p w14:paraId="23C357BA" w14:textId="77777777" w:rsidR="00A739F2" w:rsidRDefault="00597D48">
          <w:pPr>
            <w:pStyle w:val="TOC2"/>
            <w:tabs>
              <w:tab w:val="right" w:leader="dot" w:pos="8845"/>
            </w:tabs>
            <w:ind w:firstLine="600"/>
          </w:pPr>
          <w:hyperlink w:anchor="_Toc29435" w:history="1">
            <w:r>
              <w:rPr>
                <w:rFonts w:hint="eastAsia"/>
              </w:rPr>
              <w:t>（三）建设分散式风电项目助力园区绿电消纳</w:t>
            </w:r>
            <w:r>
              <w:tab/>
            </w:r>
            <w:r>
              <w:fldChar w:fldCharType="begin"/>
            </w:r>
            <w:r>
              <w:instrText xml:space="preserve"> PAGEREF _Toc29435 \h </w:instrText>
            </w:r>
            <w:r>
              <w:fldChar w:fldCharType="separate"/>
            </w:r>
            <w:r>
              <w:t>47</w:t>
            </w:r>
            <w:r>
              <w:fldChar w:fldCharType="end"/>
            </w:r>
          </w:hyperlink>
        </w:p>
        <w:p w14:paraId="18093DC9" w14:textId="77777777" w:rsidR="00A739F2" w:rsidRDefault="00597D48">
          <w:pPr>
            <w:pStyle w:val="TOC2"/>
            <w:tabs>
              <w:tab w:val="right" w:leader="dot" w:pos="8845"/>
            </w:tabs>
            <w:ind w:firstLine="600"/>
          </w:pPr>
          <w:hyperlink w:anchor="_Toc10615" w:history="1">
            <w:r>
              <w:rPr>
                <w:rFonts w:hint="eastAsia"/>
              </w:rPr>
              <w:t>（四）建设新能源主题零碳景观公园</w:t>
            </w:r>
            <w:r>
              <w:tab/>
            </w:r>
            <w:r>
              <w:fldChar w:fldCharType="begin"/>
            </w:r>
            <w:r>
              <w:instrText xml:space="preserve"> PAGEREF _Toc10615 \h </w:instrText>
            </w:r>
            <w:r>
              <w:fldChar w:fldCharType="separate"/>
            </w:r>
            <w:r>
              <w:t>48</w:t>
            </w:r>
            <w:r>
              <w:fldChar w:fldCharType="end"/>
            </w:r>
          </w:hyperlink>
        </w:p>
        <w:p w14:paraId="3593F8E0" w14:textId="77777777" w:rsidR="00A739F2" w:rsidRDefault="00597D48">
          <w:pPr>
            <w:pStyle w:val="TOC1"/>
            <w:tabs>
              <w:tab w:val="clear" w:pos="8306"/>
              <w:tab w:val="right" w:leader="dot" w:pos="8845"/>
            </w:tabs>
          </w:pPr>
          <w:hyperlink w:anchor="_Toc9742" w:history="1">
            <w:r>
              <w:rPr>
                <w:rFonts w:eastAsia="黑体" w:cs="黑体" w:hint="eastAsia"/>
                <w:szCs w:val="32"/>
              </w:rPr>
              <w:t>七、积极推动地热能规模化开发</w:t>
            </w:r>
            <w:r>
              <w:tab/>
            </w:r>
            <w:r>
              <w:fldChar w:fldCharType="begin"/>
            </w:r>
            <w:r>
              <w:instrText xml:space="preserve"> PAGEREF _Toc9742 \h </w:instrText>
            </w:r>
            <w:r>
              <w:fldChar w:fldCharType="separate"/>
            </w:r>
            <w:r>
              <w:t>49</w:t>
            </w:r>
            <w:r>
              <w:fldChar w:fldCharType="end"/>
            </w:r>
          </w:hyperlink>
        </w:p>
        <w:p w14:paraId="08BF6D57" w14:textId="77777777" w:rsidR="00A739F2" w:rsidRDefault="00597D48">
          <w:pPr>
            <w:pStyle w:val="TOC2"/>
            <w:tabs>
              <w:tab w:val="right" w:leader="dot" w:pos="8845"/>
            </w:tabs>
            <w:ind w:firstLine="600"/>
          </w:pPr>
          <w:hyperlink w:anchor="_Toc4052" w:history="1">
            <w:r>
              <w:t>（</w:t>
            </w:r>
            <w:r>
              <w:rPr>
                <w:rFonts w:hint="eastAsia"/>
              </w:rPr>
              <w:t>一</w:t>
            </w:r>
            <w:r>
              <w:t>）</w:t>
            </w:r>
            <w:r>
              <w:rPr>
                <w:rFonts w:hint="eastAsia"/>
              </w:rPr>
              <w:t>开展地热资源勘查</w:t>
            </w:r>
            <w:r>
              <w:tab/>
            </w:r>
            <w:r>
              <w:fldChar w:fldCharType="begin"/>
            </w:r>
            <w:r>
              <w:instrText xml:space="preserve"> PAGEREF _Toc4052 \h </w:instrText>
            </w:r>
            <w:r>
              <w:fldChar w:fldCharType="separate"/>
            </w:r>
            <w:r>
              <w:t>49</w:t>
            </w:r>
            <w:r>
              <w:fldChar w:fldCharType="end"/>
            </w:r>
          </w:hyperlink>
        </w:p>
        <w:p w14:paraId="32D24C6B" w14:textId="77777777" w:rsidR="00A739F2" w:rsidRDefault="00597D48">
          <w:pPr>
            <w:pStyle w:val="TOC2"/>
            <w:tabs>
              <w:tab w:val="right" w:leader="dot" w:pos="8845"/>
            </w:tabs>
            <w:ind w:firstLine="600"/>
          </w:pPr>
          <w:hyperlink w:anchor="_Toc13519" w:history="1">
            <w:r>
              <w:rPr>
                <w:rFonts w:hint="eastAsia"/>
              </w:rPr>
              <w:t>（二）</w:t>
            </w:r>
            <w:r>
              <w:rPr>
                <w:rFonts w:hint="eastAsia"/>
              </w:rPr>
              <w:t xml:space="preserve"> </w:t>
            </w:r>
            <w:r>
              <w:rPr>
                <w:rFonts w:hint="eastAsia"/>
              </w:rPr>
              <w:t>因地制宜开发浅层地热</w:t>
            </w:r>
            <w:r>
              <w:tab/>
            </w:r>
            <w:r>
              <w:fldChar w:fldCharType="begin"/>
            </w:r>
            <w:r>
              <w:instrText xml:space="preserve"> PAGEREF _Toc13519 \h </w:instrText>
            </w:r>
            <w:r>
              <w:fldChar w:fldCharType="separate"/>
            </w:r>
            <w:r>
              <w:t>50</w:t>
            </w:r>
            <w:r>
              <w:fldChar w:fldCharType="end"/>
            </w:r>
          </w:hyperlink>
        </w:p>
        <w:p w14:paraId="48CA65FC" w14:textId="77777777" w:rsidR="00A739F2" w:rsidRDefault="00597D48">
          <w:pPr>
            <w:pStyle w:val="TOC2"/>
            <w:tabs>
              <w:tab w:val="right" w:leader="dot" w:pos="8845"/>
            </w:tabs>
            <w:ind w:firstLine="600"/>
          </w:pPr>
          <w:hyperlink w:anchor="_Toc23590" w:history="1">
            <w:r>
              <w:rPr>
                <w:rFonts w:hint="eastAsia"/>
              </w:rPr>
              <w:t>（三）</w:t>
            </w:r>
            <w:r>
              <w:rPr>
                <w:rFonts w:hint="eastAsia"/>
              </w:rPr>
              <w:t xml:space="preserve"> </w:t>
            </w:r>
            <w:r>
              <w:rPr>
                <w:rFonts w:hint="eastAsia"/>
              </w:rPr>
              <w:t>推进中深层地热能开发利用</w:t>
            </w:r>
            <w:r>
              <w:tab/>
            </w:r>
            <w:r>
              <w:fldChar w:fldCharType="begin"/>
            </w:r>
            <w:r>
              <w:instrText xml:space="preserve"> PAGEREF _Toc2359</w:instrText>
            </w:r>
            <w:r>
              <w:instrText xml:space="preserve">0 \h </w:instrText>
            </w:r>
            <w:r>
              <w:fldChar w:fldCharType="separate"/>
            </w:r>
            <w:r>
              <w:t>51</w:t>
            </w:r>
            <w:r>
              <w:fldChar w:fldCharType="end"/>
            </w:r>
          </w:hyperlink>
        </w:p>
        <w:p w14:paraId="17B74878" w14:textId="77777777" w:rsidR="00A739F2" w:rsidRDefault="00597D48">
          <w:pPr>
            <w:pStyle w:val="TOC2"/>
            <w:tabs>
              <w:tab w:val="right" w:leader="dot" w:pos="8845"/>
            </w:tabs>
            <w:ind w:firstLine="600"/>
          </w:pPr>
          <w:hyperlink w:anchor="_Toc11195" w:history="1">
            <w:r>
              <w:rPr>
                <w:rFonts w:hint="eastAsia"/>
              </w:rPr>
              <w:t>（四）</w:t>
            </w:r>
            <w:r>
              <w:rPr>
                <w:rFonts w:hint="eastAsia"/>
              </w:rPr>
              <w:t xml:space="preserve"> </w:t>
            </w:r>
            <w:r>
              <w:rPr>
                <w:rFonts w:hint="eastAsia"/>
              </w:rPr>
              <w:t>做好与相关规划的衔接</w:t>
            </w:r>
            <w:r>
              <w:tab/>
            </w:r>
            <w:r>
              <w:fldChar w:fldCharType="begin"/>
            </w:r>
            <w:r>
              <w:instrText xml:space="preserve"> PAGEREF _Toc11195 \h </w:instrText>
            </w:r>
            <w:r>
              <w:fldChar w:fldCharType="separate"/>
            </w:r>
            <w:r>
              <w:t>51</w:t>
            </w:r>
            <w:r>
              <w:fldChar w:fldCharType="end"/>
            </w:r>
          </w:hyperlink>
        </w:p>
        <w:p w14:paraId="6D63E7DA" w14:textId="77777777" w:rsidR="00A739F2" w:rsidRDefault="00597D48">
          <w:pPr>
            <w:pStyle w:val="TOC1"/>
            <w:tabs>
              <w:tab w:val="clear" w:pos="8306"/>
              <w:tab w:val="right" w:leader="dot" w:pos="8845"/>
            </w:tabs>
          </w:pPr>
          <w:hyperlink w:anchor="_Toc4830" w:history="1">
            <w:r>
              <w:rPr>
                <w:rFonts w:eastAsia="黑体" w:cs="黑体" w:hint="eastAsia"/>
                <w:szCs w:val="32"/>
              </w:rPr>
              <w:t>八、可再生能源消纳利用方案</w:t>
            </w:r>
            <w:r>
              <w:tab/>
            </w:r>
            <w:r>
              <w:fldChar w:fldCharType="begin"/>
            </w:r>
            <w:r>
              <w:instrText xml:space="preserve"> PAGEREF _T</w:instrText>
            </w:r>
            <w:r>
              <w:instrText xml:space="preserve">oc4830 \h </w:instrText>
            </w:r>
            <w:r>
              <w:fldChar w:fldCharType="separate"/>
            </w:r>
            <w:r>
              <w:t>51</w:t>
            </w:r>
            <w:r>
              <w:fldChar w:fldCharType="end"/>
            </w:r>
          </w:hyperlink>
        </w:p>
        <w:p w14:paraId="2CC2823E" w14:textId="77777777" w:rsidR="00A739F2" w:rsidRDefault="00597D48">
          <w:pPr>
            <w:pStyle w:val="TOC2"/>
            <w:tabs>
              <w:tab w:val="right" w:leader="dot" w:pos="8845"/>
            </w:tabs>
            <w:ind w:firstLine="600"/>
          </w:pPr>
          <w:hyperlink w:anchor="_Toc10175" w:history="1">
            <w:r>
              <w:t>（</w:t>
            </w:r>
            <w:r>
              <w:rPr>
                <w:rFonts w:hint="eastAsia"/>
              </w:rPr>
              <w:t>一</w:t>
            </w:r>
            <w:r>
              <w:t>）推</w:t>
            </w:r>
            <w:r>
              <w:rPr>
                <w:rFonts w:hint="eastAsia"/>
              </w:rPr>
              <w:t>动</w:t>
            </w:r>
            <w:r>
              <w:t>工业园区</w:t>
            </w:r>
            <w:r>
              <w:rPr>
                <w:rFonts w:hint="eastAsia"/>
              </w:rPr>
              <w:t>存量负荷绿电替代</w:t>
            </w:r>
            <w:r>
              <w:tab/>
            </w:r>
            <w:r>
              <w:fldChar w:fldCharType="begin"/>
            </w:r>
            <w:r>
              <w:instrText xml:space="preserve"> PAGEREF _Toc10175 \h </w:instrText>
            </w:r>
            <w:r>
              <w:fldChar w:fldCharType="separate"/>
            </w:r>
            <w:r>
              <w:t>51</w:t>
            </w:r>
            <w:r>
              <w:fldChar w:fldCharType="end"/>
            </w:r>
          </w:hyperlink>
        </w:p>
        <w:p w14:paraId="3D0B5BAA" w14:textId="77777777" w:rsidR="00A739F2" w:rsidRDefault="00597D48">
          <w:pPr>
            <w:pStyle w:val="TOC2"/>
            <w:tabs>
              <w:tab w:val="right" w:leader="dot" w:pos="8845"/>
            </w:tabs>
            <w:ind w:firstLine="600"/>
          </w:pPr>
          <w:hyperlink w:anchor="_Toc26223" w:history="1">
            <w:r>
              <w:rPr>
                <w:rFonts w:hint="eastAsia"/>
              </w:rPr>
              <w:t>（二</w:t>
            </w:r>
            <w:r>
              <w:rPr>
                <w:rFonts w:eastAsia="微软雅黑" w:cs="微软雅黑" w:hint="eastAsia"/>
              </w:rPr>
              <w:t>）</w:t>
            </w:r>
            <w:r>
              <w:rPr>
                <w:rFonts w:hint="eastAsia"/>
              </w:rPr>
              <w:t>发展高比例新能源绿色智慧配电网</w:t>
            </w:r>
            <w:r>
              <w:tab/>
            </w:r>
            <w:r>
              <w:fldChar w:fldCharType="begin"/>
            </w:r>
            <w:r>
              <w:instrText xml:space="preserve"> PAGEREF _Toc26223 \h </w:instrText>
            </w:r>
            <w:r>
              <w:fldChar w:fldCharType="separate"/>
            </w:r>
            <w:r>
              <w:t>52</w:t>
            </w:r>
            <w:r>
              <w:fldChar w:fldCharType="end"/>
            </w:r>
          </w:hyperlink>
        </w:p>
        <w:p w14:paraId="77C86C1C" w14:textId="77777777" w:rsidR="00A739F2" w:rsidRDefault="00597D48">
          <w:pPr>
            <w:pStyle w:val="TOC2"/>
            <w:tabs>
              <w:tab w:val="right" w:leader="dot" w:pos="8845"/>
            </w:tabs>
            <w:ind w:firstLine="600"/>
          </w:pPr>
          <w:hyperlink w:anchor="_Toc24021" w:history="1">
            <w:r>
              <w:rPr>
                <w:rFonts w:hint="eastAsia"/>
              </w:rPr>
              <w:t>（三）推动新能源制氢耦合发展</w:t>
            </w:r>
            <w:r>
              <w:tab/>
            </w:r>
            <w:r>
              <w:fldChar w:fldCharType="begin"/>
            </w:r>
            <w:r>
              <w:instrText xml:space="preserve"> PAGEREF _Toc24021 \h </w:instrText>
            </w:r>
            <w:r>
              <w:fldChar w:fldCharType="separate"/>
            </w:r>
            <w:r>
              <w:t>53</w:t>
            </w:r>
            <w:r>
              <w:fldChar w:fldCharType="end"/>
            </w:r>
          </w:hyperlink>
        </w:p>
        <w:p w14:paraId="5EE868D4" w14:textId="77777777" w:rsidR="00A739F2" w:rsidRDefault="00597D48">
          <w:pPr>
            <w:pStyle w:val="TOC2"/>
            <w:tabs>
              <w:tab w:val="right" w:leader="dot" w:pos="8845"/>
            </w:tabs>
            <w:ind w:firstLine="600"/>
          </w:pPr>
          <w:hyperlink w:anchor="_Toc6903" w:history="1">
            <w:r>
              <w:rPr>
                <w:rFonts w:hint="eastAsia"/>
              </w:rPr>
              <w:t>（四）配套建设多种新型储能</w:t>
            </w:r>
            <w:r>
              <w:tab/>
            </w:r>
            <w:r>
              <w:fldChar w:fldCharType="begin"/>
            </w:r>
            <w:r>
              <w:instrText xml:space="preserve"> PAGEREF _Toc6903 \h </w:instrText>
            </w:r>
            <w:r>
              <w:fldChar w:fldCharType="separate"/>
            </w:r>
            <w:r>
              <w:t>55</w:t>
            </w:r>
            <w:r>
              <w:fldChar w:fldCharType="end"/>
            </w:r>
          </w:hyperlink>
        </w:p>
        <w:p w14:paraId="150A7432" w14:textId="77777777" w:rsidR="00A739F2" w:rsidRDefault="00597D48">
          <w:pPr>
            <w:pStyle w:val="TOC2"/>
            <w:tabs>
              <w:tab w:val="right" w:leader="dot" w:pos="8845"/>
            </w:tabs>
            <w:ind w:firstLine="600"/>
          </w:pPr>
          <w:hyperlink w:anchor="_Toc131" w:history="1">
            <w:r>
              <w:rPr>
                <w:rFonts w:hint="eastAsia"/>
              </w:rPr>
              <w:t>（五）扩大可再生能源非电直接利用规模</w:t>
            </w:r>
            <w:r>
              <w:tab/>
            </w:r>
            <w:r>
              <w:fldChar w:fldCharType="begin"/>
            </w:r>
            <w:r>
              <w:instrText xml:space="preserve"> PAGEREF _Toc131 \h </w:instrText>
            </w:r>
            <w:r>
              <w:fldChar w:fldCharType="separate"/>
            </w:r>
            <w:r>
              <w:t>56</w:t>
            </w:r>
            <w:r>
              <w:fldChar w:fldCharType="end"/>
            </w:r>
          </w:hyperlink>
        </w:p>
        <w:p w14:paraId="4D185A36" w14:textId="77777777" w:rsidR="00A739F2" w:rsidRDefault="00597D48">
          <w:pPr>
            <w:pStyle w:val="TOC2"/>
            <w:tabs>
              <w:tab w:val="right" w:leader="dot" w:pos="8845"/>
            </w:tabs>
            <w:ind w:firstLine="600"/>
          </w:pPr>
          <w:hyperlink w:anchor="_Toc9275" w:history="1">
            <w:r>
              <w:rPr>
                <w:rFonts w:hint="eastAsia"/>
              </w:rPr>
              <w:t>（六）发展综合能源智慧管控系统</w:t>
            </w:r>
            <w:r>
              <w:tab/>
            </w:r>
            <w:r>
              <w:fldChar w:fldCharType="begin"/>
            </w:r>
            <w:r>
              <w:instrText xml:space="preserve"> PAGEREF _Toc9275 \h </w:instrText>
            </w:r>
            <w:r>
              <w:fldChar w:fldCharType="separate"/>
            </w:r>
            <w:r>
              <w:t>56</w:t>
            </w:r>
            <w:r>
              <w:fldChar w:fldCharType="end"/>
            </w:r>
          </w:hyperlink>
        </w:p>
        <w:p w14:paraId="3A499E5D" w14:textId="77777777" w:rsidR="00A739F2" w:rsidRDefault="00597D48">
          <w:pPr>
            <w:pStyle w:val="TOC1"/>
            <w:tabs>
              <w:tab w:val="clear" w:pos="8306"/>
              <w:tab w:val="right" w:leader="dot" w:pos="8845"/>
            </w:tabs>
          </w:pPr>
          <w:hyperlink w:anchor="_Toc31341" w:history="1">
            <w:r>
              <w:rPr>
                <w:rFonts w:eastAsia="黑体" w:cs="黑体" w:hint="eastAsia"/>
                <w:szCs w:val="32"/>
              </w:rPr>
              <w:t>九、电网接入方案</w:t>
            </w:r>
            <w:r>
              <w:tab/>
            </w:r>
            <w:r>
              <w:fldChar w:fldCharType="begin"/>
            </w:r>
            <w:r>
              <w:instrText xml:space="preserve"> PAGEREF _Toc31341 \h </w:instrText>
            </w:r>
            <w:r>
              <w:fldChar w:fldCharType="separate"/>
            </w:r>
            <w:r>
              <w:t>58</w:t>
            </w:r>
            <w:r>
              <w:fldChar w:fldCharType="end"/>
            </w:r>
          </w:hyperlink>
        </w:p>
        <w:p w14:paraId="354D19F9" w14:textId="77777777" w:rsidR="00A739F2" w:rsidRDefault="00597D48">
          <w:pPr>
            <w:pStyle w:val="TOC2"/>
            <w:tabs>
              <w:tab w:val="right" w:leader="dot" w:pos="8845"/>
            </w:tabs>
            <w:ind w:firstLine="600"/>
          </w:pPr>
          <w:hyperlink w:anchor="_Toc14458" w:history="1">
            <w:r>
              <w:rPr>
                <w:rFonts w:hint="eastAsia"/>
              </w:rPr>
              <w:t>（一）电网发展规划</w:t>
            </w:r>
            <w:r>
              <w:tab/>
            </w:r>
            <w:r>
              <w:fldChar w:fldCharType="begin"/>
            </w:r>
            <w:r>
              <w:instrText xml:space="preserve"> PAGEREF _Toc14458 \h </w:instrText>
            </w:r>
            <w:r>
              <w:fldChar w:fldCharType="separate"/>
            </w:r>
            <w:r>
              <w:t>58</w:t>
            </w:r>
            <w:r>
              <w:fldChar w:fldCharType="end"/>
            </w:r>
          </w:hyperlink>
        </w:p>
        <w:p w14:paraId="69EA242B" w14:textId="77777777" w:rsidR="00A739F2" w:rsidRDefault="00597D48">
          <w:pPr>
            <w:pStyle w:val="TOC2"/>
            <w:tabs>
              <w:tab w:val="right" w:leader="dot" w:pos="8845"/>
            </w:tabs>
            <w:ind w:firstLine="600"/>
          </w:pPr>
          <w:hyperlink w:anchor="_Toc28246" w:history="1">
            <w:r>
              <w:t>（二）</w:t>
            </w:r>
            <w:r>
              <w:rPr>
                <w:rFonts w:hint="eastAsia"/>
              </w:rPr>
              <w:t>可接入变电站分析</w:t>
            </w:r>
            <w:r>
              <w:tab/>
            </w:r>
            <w:r>
              <w:fldChar w:fldCharType="begin"/>
            </w:r>
            <w:r>
              <w:instrText xml:space="preserve"> PAGEREF _Toc28246 \h </w:instrText>
            </w:r>
            <w:r>
              <w:fldChar w:fldCharType="separate"/>
            </w:r>
            <w:r>
              <w:t>59</w:t>
            </w:r>
            <w:r>
              <w:fldChar w:fldCharType="end"/>
            </w:r>
          </w:hyperlink>
        </w:p>
        <w:p w14:paraId="567A8719" w14:textId="77777777" w:rsidR="00A739F2" w:rsidRDefault="00597D48">
          <w:pPr>
            <w:pStyle w:val="TOC2"/>
            <w:tabs>
              <w:tab w:val="right" w:leader="dot" w:pos="8845"/>
            </w:tabs>
            <w:ind w:firstLine="600"/>
          </w:pPr>
          <w:hyperlink w:anchor="_Toc9957" w:history="1">
            <w:r>
              <w:t>（</w:t>
            </w:r>
            <w:r>
              <w:rPr>
                <w:rFonts w:hint="eastAsia"/>
              </w:rPr>
              <w:t>三</w:t>
            </w:r>
            <w:r>
              <w:t>）接入系统方案</w:t>
            </w:r>
            <w:r>
              <w:tab/>
            </w:r>
            <w:r>
              <w:fldChar w:fldCharType="begin"/>
            </w:r>
            <w:r>
              <w:instrText xml:space="preserve"> PAGEREF _Toc9957 \h </w:instrText>
            </w:r>
            <w:r>
              <w:fldChar w:fldCharType="separate"/>
            </w:r>
            <w:r>
              <w:t>60</w:t>
            </w:r>
            <w:r>
              <w:fldChar w:fldCharType="end"/>
            </w:r>
          </w:hyperlink>
        </w:p>
        <w:p w14:paraId="359D9F20" w14:textId="77777777" w:rsidR="00A739F2" w:rsidRDefault="00597D48">
          <w:pPr>
            <w:pStyle w:val="TOC1"/>
            <w:tabs>
              <w:tab w:val="clear" w:pos="8306"/>
              <w:tab w:val="right" w:leader="dot" w:pos="8845"/>
            </w:tabs>
          </w:pPr>
          <w:hyperlink w:anchor="_Toc12355" w:history="1">
            <w:r>
              <w:rPr>
                <w:rFonts w:eastAsia="黑体" w:cs="黑体" w:hint="eastAsia"/>
                <w:szCs w:val="32"/>
              </w:rPr>
              <w:t>十、保障措施</w:t>
            </w:r>
            <w:r>
              <w:tab/>
            </w:r>
            <w:r>
              <w:fldChar w:fldCharType="begin"/>
            </w:r>
            <w:r>
              <w:instrText xml:space="preserve"> PAGEREF _Toc12355 \h </w:instrText>
            </w:r>
            <w:r>
              <w:fldChar w:fldCharType="separate"/>
            </w:r>
            <w:r>
              <w:t>68</w:t>
            </w:r>
            <w:r>
              <w:fldChar w:fldCharType="end"/>
            </w:r>
          </w:hyperlink>
        </w:p>
        <w:p w14:paraId="7AEE6EAE" w14:textId="77777777" w:rsidR="00A739F2" w:rsidRDefault="00597D48">
          <w:pPr>
            <w:pStyle w:val="TOC2"/>
            <w:tabs>
              <w:tab w:val="right" w:leader="dot" w:pos="8845"/>
            </w:tabs>
            <w:ind w:firstLine="600"/>
          </w:pPr>
          <w:hyperlink w:anchor="_Toc30392" w:history="1">
            <w:r>
              <w:rPr>
                <w:rFonts w:hint="eastAsia"/>
              </w:rPr>
              <w:t>（一）加强组织领导</w:t>
            </w:r>
            <w:r>
              <w:tab/>
            </w:r>
            <w:r>
              <w:fldChar w:fldCharType="begin"/>
            </w:r>
            <w:r>
              <w:instrText xml:space="preserve"> PAGEREF _Toc30392 \h </w:instrText>
            </w:r>
            <w:r>
              <w:fldChar w:fldCharType="separate"/>
            </w:r>
            <w:r>
              <w:t>68</w:t>
            </w:r>
            <w:r>
              <w:fldChar w:fldCharType="end"/>
            </w:r>
          </w:hyperlink>
        </w:p>
        <w:p w14:paraId="2819042C" w14:textId="77777777" w:rsidR="00A739F2" w:rsidRDefault="00597D48">
          <w:pPr>
            <w:pStyle w:val="TOC2"/>
            <w:tabs>
              <w:tab w:val="right" w:leader="dot" w:pos="8845"/>
            </w:tabs>
            <w:ind w:firstLine="600"/>
          </w:pPr>
          <w:hyperlink w:anchor="_Toc18590" w:history="1">
            <w:r>
              <w:rPr>
                <w:rFonts w:hint="eastAsia"/>
              </w:rPr>
              <w:t>（二）优化土地配置</w:t>
            </w:r>
            <w:r>
              <w:tab/>
            </w:r>
            <w:r>
              <w:fldChar w:fldCharType="begin"/>
            </w:r>
            <w:r>
              <w:instrText xml:space="preserve"> PAGEREF _Toc18590 \h </w:instrText>
            </w:r>
            <w:r>
              <w:fldChar w:fldCharType="separate"/>
            </w:r>
            <w:r>
              <w:t>69</w:t>
            </w:r>
            <w:r>
              <w:fldChar w:fldCharType="end"/>
            </w:r>
          </w:hyperlink>
        </w:p>
        <w:p w14:paraId="62C1C24E" w14:textId="77777777" w:rsidR="00A739F2" w:rsidRDefault="00597D48">
          <w:pPr>
            <w:pStyle w:val="TOC2"/>
            <w:tabs>
              <w:tab w:val="right" w:leader="dot" w:pos="8845"/>
            </w:tabs>
            <w:ind w:firstLine="600"/>
          </w:pPr>
          <w:hyperlink w:anchor="_Toc15436" w:history="1">
            <w:r>
              <w:rPr>
                <w:rFonts w:hint="eastAsia"/>
              </w:rPr>
              <w:t>（三）加强金融财政支持</w:t>
            </w:r>
            <w:r>
              <w:tab/>
            </w:r>
            <w:r>
              <w:fldChar w:fldCharType="begin"/>
            </w:r>
            <w:r>
              <w:instrText xml:space="preserve"> PAGEREF _Toc15436 \h </w:instrText>
            </w:r>
            <w:r>
              <w:fldChar w:fldCharType="separate"/>
            </w:r>
            <w:r>
              <w:t>69</w:t>
            </w:r>
            <w:r>
              <w:fldChar w:fldCharType="end"/>
            </w:r>
          </w:hyperlink>
        </w:p>
        <w:p w14:paraId="3E481EA0" w14:textId="77777777" w:rsidR="00A739F2" w:rsidRDefault="00597D48">
          <w:pPr>
            <w:pStyle w:val="TOC2"/>
            <w:tabs>
              <w:tab w:val="right" w:leader="dot" w:pos="8845"/>
            </w:tabs>
            <w:ind w:firstLine="600"/>
          </w:pPr>
          <w:hyperlink w:anchor="_Toc22924" w:history="1">
            <w:r>
              <w:rPr>
                <w:rFonts w:hint="eastAsia"/>
              </w:rPr>
              <w:t>（四）统筹源网建</w:t>
            </w:r>
            <w:r>
              <w:rPr>
                <w:rFonts w:hint="eastAsia"/>
              </w:rPr>
              <w:t>设</w:t>
            </w:r>
            <w:r>
              <w:tab/>
            </w:r>
            <w:r>
              <w:fldChar w:fldCharType="begin"/>
            </w:r>
            <w:r>
              <w:instrText xml:space="preserve"> PAGEREF _Toc22924 \h </w:instrText>
            </w:r>
            <w:r>
              <w:fldChar w:fldCharType="separate"/>
            </w:r>
            <w:r>
              <w:t>70</w:t>
            </w:r>
            <w:r>
              <w:fldChar w:fldCharType="end"/>
            </w:r>
          </w:hyperlink>
        </w:p>
        <w:p w14:paraId="6FCBB65D" w14:textId="77777777" w:rsidR="00A739F2" w:rsidRDefault="00597D48">
          <w:pPr>
            <w:pStyle w:val="TOC1"/>
            <w:tabs>
              <w:tab w:val="clear" w:pos="8306"/>
              <w:tab w:val="right" w:leader="dot" w:pos="8845"/>
            </w:tabs>
          </w:pPr>
          <w:hyperlink w:anchor="_Toc15266" w:history="1">
            <w:r>
              <w:rPr>
                <w:rFonts w:eastAsia="黑体" w:cs="黑体" w:hint="eastAsia"/>
                <w:szCs w:val="32"/>
              </w:rPr>
              <w:t>十一、环境影响评价</w:t>
            </w:r>
            <w:r>
              <w:tab/>
            </w:r>
            <w:r>
              <w:fldChar w:fldCharType="begin"/>
            </w:r>
            <w:r>
              <w:instrText xml:space="preserve"> PAGEREF _Toc15266 \h </w:instrText>
            </w:r>
            <w:r>
              <w:fldChar w:fldCharType="separate"/>
            </w:r>
            <w:r>
              <w:t>70</w:t>
            </w:r>
            <w:r>
              <w:fldChar w:fldCharType="end"/>
            </w:r>
          </w:hyperlink>
        </w:p>
        <w:p w14:paraId="7520109B" w14:textId="77777777" w:rsidR="00A739F2" w:rsidRDefault="00597D48">
          <w:pPr>
            <w:pStyle w:val="TOC2"/>
            <w:tabs>
              <w:tab w:val="right" w:leader="dot" w:pos="8845"/>
            </w:tabs>
            <w:ind w:firstLine="600"/>
          </w:pPr>
          <w:hyperlink w:anchor="_Toc16335" w:history="1">
            <w:r>
              <w:rPr>
                <w:rFonts w:hint="eastAsia"/>
              </w:rPr>
              <w:t>（一）环境影响分</w:t>
            </w:r>
            <w:r>
              <w:rPr>
                <w:rFonts w:hint="eastAsia"/>
              </w:rPr>
              <w:t>析</w:t>
            </w:r>
            <w:r>
              <w:tab/>
            </w:r>
            <w:r>
              <w:fldChar w:fldCharType="begin"/>
            </w:r>
            <w:r>
              <w:instrText xml:space="preserve"> PAGEREF _Toc16335 \h </w:instrText>
            </w:r>
            <w:r>
              <w:fldChar w:fldCharType="separate"/>
            </w:r>
            <w:r>
              <w:t>70</w:t>
            </w:r>
            <w:r>
              <w:fldChar w:fldCharType="end"/>
            </w:r>
          </w:hyperlink>
        </w:p>
        <w:p w14:paraId="6A2A1034" w14:textId="77777777" w:rsidR="00A739F2" w:rsidRDefault="00597D48">
          <w:pPr>
            <w:pStyle w:val="TOC2"/>
            <w:tabs>
              <w:tab w:val="right" w:leader="dot" w:pos="8845"/>
            </w:tabs>
            <w:ind w:firstLine="600"/>
          </w:pPr>
          <w:hyperlink w:anchor="_Toc27687" w:history="1">
            <w:r>
              <w:rPr>
                <w:rFonts w:hint="eastAsia"/>
              </w:rPr>
              <w:t>（二）环境保护措施</w:t>
            </w:r>
            <w:r>
              <w:tab/>
            </w:r>
            <w:r>
              <w:fldChar w:fldCharType="begin"/>
            </w:r>
            <w:r>
              <w:instrText xml:space="preserve"> PAGEREF _Toc27687 \h </w:instrText>
            </w:r>
            <w:r>
              <w:fldChar w:fldCharType="separate"/>
            </w:r>
            <w:r>
              <w:t>71</w:t>
            </w:r>
            <w:r>
              <w:fldChar w:fldCharType="end"/>
            </w:r>
          </w:hyperlink>
        </w:p>
        <w:p w14:paraId="6ABC8B81" w14:textId="77777777" w:rsidR="00A739F2" w:rsidRDefault="00597D48">
          <w:pPr>
            <w:kinsoku w:val="0"/>
            <w:autoSpaceDE w:val="0"/>
            <w:autoSpaceDN w:val="0"/>
            <w:adjustRightInd w:val="0"/>
            <w:spacing w:line="314" w:lineRule="auto"/>
            <w:ind w:left="8" w:firstLineChars="0" w:hanging="8"/>
            <w:jc w:val="center"/>
            <w:textAlignment w:val="baseline"/>
            <w:rPr>
              <w:rFonts w:eastAsia="Arial" w:cs="Arial"/>
              <w:snapToGrid w:val="0"/>
              <w:color w:val="000000"/>
              <w:kern w:val="0"/>
              <w:sz w:val="21"/>
              <w:szCs w:val="21"/>
            </w:rPr>
            <w:sectPr w:rsidR="00A739F2">
              <w:footerReference w:type="default" r:id="rId15"/>
              <w:pgSz w:w="11906" w:h="16838"/>
              <w:pgMar w:top="2098" w:right="1474" w:bottom="1984" w:left="1587" w:header="850" w:footer="1417" w:gutter="0"/>
              <w:pgNumType w:fmt="lowerRoman" w:start="1"/>
              <w:cols w:space="0"/>
              <w:docGrid w:type="linesAndChars" w:linePitch="312"/>
            </w:sectPr>
          </w:pPr>
          <w:r>
            <w:rPr>
              <w:rFonts w:eastAsia="Arial" w:cs="Arial"/>
              <w:snapToGrid w:val="0"/>
              <w:color w:val="000000"/>
              <w:kern w:val="0"/>
              <w:szCs w:val="21"/>
            </w:rPr>
            <w:fldChar w:fldCharType="end"/>
          </w:r>
        </w:p>
      </w:sdtContent>
    </w:sdt>
    <w:p w14:paraId="5E40D44A" w14:textId="77777777" w:rsidR="00A739F2" w:rsidRDefault="00597D48">
      <w:pPr>
        <w:widowControl/>
        <w:kinsoku w:val="0"/>
        <w:autoSpaceDE w:val="0"/>
        <w:autoSpaceDN w:val="0"/>
        <w:adjustRightInd w:val="0"/>
        <w:spacing w:before="100" w:line="360" w:lineRule="auto"/>
        <w:ind w:left="601" w:firstLineChars="0" w:firstLine="0"/>
        <w:jc w:val="left"/>
        <w:textAlignment w:val="baseline"/>
        <w:outlineLvl w:val="0"/>
        <w:rPr>
          <w:rFonts w:eastAsia="黑体" w:cs="黑体"/>
          <w:snapToGrid w:val="0"/>
          <w:color w:val="000000"/>
          <w:spacing w:val="-2"/>
          <w:kern w:val="0"/>
          <w:szCs w:val="32"/>
        </w:rPr>
      </w:pPr>
      <w:bookmarkStart w:id="0" w:name="_Toc17483"/>
      <w:bookmarkStart w:id="1" w:name="_Toc31427"/>
      <w:bookmarkStart w:id="2" w:name="_Toc22551"/>
      <w:bookmarkStart w:id="3" w:name="_Toc13214"/>
      <w:bookmarkStart w:id="4" w:name="_Toc5732"/>
      <w:bookmarkStart w:id="5" w:name="_Toc28228"/>
      <w:bookmarkStart w:id="6" w:name="_Toc32307"/>
      <w:bookmarkStart w:id="7" w:name="_Toc28463"/>
      <w:r>
        <w:rPr>
          <w:rFonts w:eastAsia="黑体" w:cs="Times New Roman"/>
          <w:snapToGrid w:val="0"/>
          <w:color w:val="000000"/>
          <w:spacing w:val="-2"/>
          <w:kern w:val="0"/>
          <w:szCs w:val="32"/>
        </w:rPr>
        <w:lastRenderedPageBreak/>
        <w:t>一</w:t>
      </w:r>
      <w:r>
        <w:rPr>
          <w:rFonts w:eastAsia="黑体" w:cs="黑体" w:hint="eastAsia"/>
          <w:snapToGrid w:val="0"/>
          <w:color w:val="000000"/>
          <w:spacing w:val="-2"/>
          <w:kern w:val="0"/>
          <w:szCs w:val="32"/>
        </w:rPr>
        <w:t>、规划编制概况</w:t>
      </w:r>
      <w:bookmarkEnd w:id="0"/>
      <w:bookmarkEnd w:id="1"/>
      <w:bookmarkEnd w:id="2"/>
      <w:bookmarkEnd w:id="3"/>
      <w:bookmarkEnd w:id="4"/>
      <w:bookmarkEnd w:id="5"/>
      <w:bookmarkEnd w:id="6"/>
      <w:bookmarkEnd w:id="7"/>
    </w:p>
    <w:p w14:paraId="781D0175" w14:textId="77777777" w:rsidR="00A739F2" w:rsidRDefault="00597D48">
      <w:pPr>
        <w:outlineLvl w:val="1"/>
        <w:rPr>
          <w:rFonts w:eastAsia="楷体" w:cs="楷体"/>
        </w:rPr>
      </w:pPr>
      <w:bookmarkStart w:id="8" w:name="_Toc17876"/>
      <w:bookmarkStart w:id="9" w:name="_Toc31998"/>
      <w:bookmarkStart w:id="10" w:name="_Toc5188"/>
      <w:bookmarkStart w:id="11" w:name="_Toc6185"/>
      <w:bookmarkStart w:id="12" w:name="_Toc758"/>
      <w:bookmarkStart w:id="13" w:name="_Toc22282"/>
      <w:bookmarkStart w:id="14" w:name="_Toc16910"/>
      <w:r>
        <w:rPr>
          <w:rFonts w:eastAsia="楷体" w:cs="楷体" w:hint="eastAsia"/>
        </w:rPr>
        <w:t>（一）规划背景</w:t>
      </w:r>
      <w:bookmarkEnd w:id="8"/>
      <w:bookmarkEnd w:id="9"/>
      <w:bookmarkEnd w:id="10"/>
      <w:bookmarkEnd w:id="11"/>
      <w:bookmarkEnd w:id="12"/>
      <w:bookmarkEnd w:id="13"/>
      <w:bookmarkEnd w:id="14"/>
    </w:p>
    <w:p w14:paraId="0BCDD8E6" w14:textId="77777777" w:rsidR="00A739F2" w:rsidRDefault="00597D48">
      <w:r>
        <w:rPr>
          <w:rFonts w:hint="eastAsia"/>
        </w:rPr>
        <w:t>环境是人类生存的基础，能源是文明发展的动力，二者共同构成人类文明发展的基石。秉持人类命运共同体理念，坚持绿色低碳，建设一个清洁美丽的世界，是实现人类社会可持续发展的必由之路。</w:t>
      </w:r>
    </w:p>
    <w:p w14:paraId="7306988A" w14:textId="77777777" w:rsidR="00A739F2" w:rsidRDefault="00597D48">
      <w:r>
        <w:rPr>
          <w:rFonts w:cs="Times New Roman" w:hint="eastAsia"/>
        </w:rPr>
        <w:t>2020</w:t>
      </w:r>
      <w:r>
        <w:rPr>
          <w:rFonts w:hint="eastAsia"/>
        </w:rPr>
        <w:t>年</w:t>
      </w:r>
      <w:r>
        <w:rPr>
          <w:rFonts w:cs="Times New Roman" w:hint="eastAsia"/>
        </w:rPr>
        <w:t>9</w:t>
      </w:r>
      <w:r>
        <w:rPr>
          <w:rFonts w:hint="eastAsia"/>
        </w:rPr>
        <w:t>月</w:t>
      </w:r>
      <w:r>
        <w:rPr>
          <w:rFonts w:cs="仿宋_GB2312" w:hint="eastAsia"/>
        </w:rPr>
        <w:t>，</w:t>
      </w:r>
      <w:r>
        <w:rPr>
          <w:rFonts w:hint="eastAsia"/>
        </w:rPr>
        <w:t>习近平总书记在第七十五届联合</w:t>
      </w:r>
      <w:r>
        <w:rPr>
          <w:rFonts w:cs="仿宋_GB2312" w:hint="eastAsia"/>
        </w:rPr>
        <w:t>国</w:t>
      </w:r>
      <w:r>
        <w:rPr>
          <w:rFonts w:hint="eastAsia"/>
        </w:rPr>
        <w:t>大会</w:t>
      </w:r>
      <w:r>
        <w:rPr>
          <w:rFonts w:cs="仿宋_GB2312" w:hint="eastAsia"/>
        </w:rPr>
        <w:t>一</w:t>
      </w:r>
      <w:r>
        <w:rPr>
          <w:rFonts w:hint="eastAsia"/>
        </w:rPr>
        <w:t>般性辩论上提出</w:t>
      </w:r>
      <w:r>
        <w:rPr>
          <w:rFonts w:cs="Times New Roman" w:hint="eastAsia"/>
        </w:rPr>
        <w:t>2030</w:t>
      </w:r>
      <w:r>
        <w:rPr>
          <w:rFonts w:hint="eastAsia"/>
        </w:rPr>
        <w:t>年前碳排放达峰、</w:t>
      </w:r>
      <w:r>
        <w:rPr>
          <w:rFonts w:cs="Times New Roman" w:hint="eastAsia"/>
        </w:rPr>
        <w:t>2060</w:t>
      </w:r>
      <w:r>
        <w:rPr>
          <w:rFonts w:hint="eastAsia"/>
        </w:rPr>
        <w:t>年前</w:t>
      </w:r>
      <w:proofErr w:type="gramStart"/>
      <w:r>
        <w:rPr>
          <w:rFonts w:cs="仿宋_GB2312" w:hint="eastAsia"/>
        </w:rPr>
        <w:t>实</w:t>
      </w:r>
      <w:r>
        <w:rPr>
          <w:rFonts w:hint="eastAsia"/>
        </w:rPr>
        <w:t>现碳中的</w:t>
      </w:r>
      <w:proofErr w:type="gramEnd"/>
      <w:r>
        <w:rPr>
          <w:rFonts w:hint="eastAsia"/>
        </w:rPr>
        <w:t>战略</w:t>
      </w:r>
      <w:r>
        <w:rPr>
          <w:rFonts w:cs="仿宋_GB2312" w:hint="eastAsia"/>
        </w:rPr>
        <w:t>目标，</w:t>
      </w:r>
      <w:r>
        <w:rPr>
          <w:rFonts w:hint="eastAsia"/>
        </w:rPr>
        <w:t>在气候雄心峰会上进</w:t>
      </w:r>
      <w:r>
        <w:rPr>
          <w:rFonts w:cs="仿宋_GB2312" w:hint="eastAsia"/>
        </w:rPr>
        <w:t>一步</w:t>
      </w:r>
      <w:r>
        <w:rPr>
          <w:rFonts w:hint="eastAsia"/>
        </w:rPr>
        <w:t>提出</w:t>
      </w:r>
      <w:r>
        <w:rPr>
          <w:rFonts w:cs="仿宋_GB2312" w:hint="eastAsia"/>
        </w:rPr>
        <w:t>，</w:t>
      </w:r>
      <w:r>
        <w:rPr>
          <w:rFonts w:hint="eastAsia"/>
        </w:rPr>
        <w:t>到</w:t>
      </w:r>
      <w:r>
        <w:rPr>
          <w:rFonts w:cs="Times New Roman" w:hint="eastAsia"/>
        </w:rPr>
        <w:t>2030</w:t>
      </w:r>
      <w:r>
        <w:rPr>
          <w:rFonts w:hint="eastAsia"/>
        </w:rPr>
        <w:t>年</w:t>
      </w:r>
      <w:r>
        <w:rPr>
          <w:rFonts w:cs="仿宋_GB2312" w:hint="eastAsia"/>
        </w:rPr>
        <w:t>，</w:t>
      </w:r>
      <w:r>
        <w:rPr>
          <w:rFonts w:hint="eastAsia"/>
        </w:rPr>
        <w:t>中</w:t>
      </w:r>
      <w:r>
        <w:rPr>
          <w:rFonts w:cs="仿宋_GB2312" w:hint="eastAsia"/>
        </w:rPr>
        <w:t>国</w:t>
      </w:r>
      <w:r>
        <w:rPr>
          <w:rFonts w:hint="eastAsia"/>
        </w:rPr>
        <w:t>单位</w:t>
      </w:r>
      <w:r>
        <w:rPr>
          <w:rFonts w:cs="仿宋_GB2312" w:hint="eastAsia"/>
        </w:rPr>
        <w:t>国</w:t>
      </w:r>
      <w:r>
        <w:rPr>
          <w:rFonts w:hint="eastAsia"/>
        </w:rPr>
        <w:t>内生产总值</w:t>
      </w:r>
      <w:r>
        <w:rPr>
          <w:rFonts w:cs="仿宋_GB2312" w:hint="eastAsia"/>
        </w:rPr>
        <w:t>二</w:t>
      </w:r>
      <w:r>
        <w:rPr>
          <w:rFonts w:hint="eastAsia"/>
        </w:rPr>
        <w:t>氧</w:t>
      </w:r>
      <w:r>
        <w:rPr>
          <w:rFonts w:cs="仿宋_GB2312" w:hint="eastAsia"/>
        </w:rPr>
        <w:t>化</w:t>
      </w:r>
      <w:r>
        <w:rPr>
          <w:rFonts w:hint="eastAsia"/>
        </w:rPr>
        <w:t>碳排放将比</w:t>
      </w:r>
      <w:r>
        <w:rPr>
          <w:rFonts w:cs="Times New Roman" w:hint="eastAsia"/>
        </w:rPr>
        <w:t>2005</w:t>
      </w:r>
      <w:r>
        <w:rPr>
          <w:rFonts w:hint="eastAsia"/>
        </w:rPr>
        <w:t>年下降</w:t>
      </w:r>
      <w:r>
        <w:rPr>
          <w:rFonts w:cs="Times New Roman" w:hint="eastAsia"/>
        </w:rPr>
        <w:t>65%</w:t>
      </w:r>
      <w:r>
        <w:rPr>
          <w:rFonts w:hint="eastAsia"/>
        </w:rPr>
        <w:t>以上</w:t>
      </w:r>
      <w:r>
        <w:rPr>
          <w:rFonts w:cs="仿宋_GB2312" w:hint="eastAsia"/>
        </w:rPr>
        <w:t>，</w:t>
      </w:r>
      <w:r>
        <w:rPr>
          <w:rFonts w:hint="eastAsia"/>
        </w:rPr>
        <w:t>非</w:t>
      </w:r>
      <w:r>
        <w:rPr>
          <w:rFonts w:cs="仿宋_GB2312" w:hint="eastAsia"/>
        </w:rPr>
        <w:t>化</w:t>
      </w:r>
      <w:r>
        <w:rPr>
          <w:rFonts w:hint="eastAsia"/>
        </w:rPr>
        <w:t>石能</w:t>
      </w:r>
      <w:r>
        <w:rPr>
          <w:rFonts w:cs="仿宋_GB2312" w:hint="eastAsia"/>
        </w:rPr>
        <w:t>源</w:t>
      </w:r>
      <w:r>
        <w:rPr>
          <w:rFonts w:hint="eastAsia"/>
        </w:rPr>
        <w:t>占</w:t>
      </w:r>
      <w:r>
        <w:rPr>
          <w:rFonts w:cs="仿宋_GB2312" w:hint="eastAsia"/>
        </w:rPr>
        <w:t>一</w:t>
      </w:r>
      <w:r>
        <w:rPr>
          <w:rFonts w:hint="eastAsia"/>
        </w:rPr>
        <w:t>次能</w:t>
      </w:r>
      <w:r>
        <w:rPr>
          <w:rFonts w:cs="仿宋_GB2312" w:hint="eastAsia"/>
        </w:rPr>
        <w:t>源</w:t>
      </w:r>
      <w:r>
        <w:rPr>
          <w:rFonts w:hint="eastAsia"/>
        </w:rPr>
        <w:t>消费比</w:t>
      </w:r>
      <w:r>
        <w:rPr>
          <w:rFonts w:cs="仿宋_GB2312" w:hint="eastAsia"/>
        </w:rPr>
        <w:t>重</w:t>
      </w:r>
      <w:r>
        <w:rPr>
          <w:rFonts w:hint="eastAsia"/>
        </w:rPr>
        <w:t>将达到</w:t>
      </w:r>
      <w:r>
        <w:rPr>
          <w:rFonts w:cs="Times New Roman" w:hint="eastAsia"/>
        </w:rPr>
        <w:t>25%</w:t>
      </w:r>
      <w:r>
        <w:rPr>
          <w:rFonts w:hint="eastAsia"/>
        </w:rPr>
        <w:t>左右</w:t>
      </w:r>
      <w:r>
        <w:rPr>
          <w:rFonts w:cs="仿宋_GB2312" w:hint="eastAsia"/>
        </w:rPr>
        <w:t>，</w:t>
      </w:r>
      <w:r>
        <w:rPr>
          <w:rFonts w:hint="eastAsia"/>
        </w:rPr>
        <w:t>森林蓄积量将比</w:t>
      </w:r>
      <w:r>
        <w:rPr>
          <w:rFonts w:cs="Times New Roman" w:hint="eastAsia"/>
        </w:rPr>
        <w:t>2005</w:t>
      </w:r>
      <w:r>
        <w:rPr>
          <w:rFonts w:hint="eastAsia"/>
        </w:rPr>
        <w:t>年增加</w:t>
      </w:r>
      <w:r>
        <w:rPr>
          <w:rFonts w:cs="Times New Roman" w:hint="eastAsia"/>
        </w:rPr>
        <w:t>60</w:t>
      </w:r>
      <w:r>
        <w:rPr>
          <w:rFonts w:hint="eastAsia"/>
        </w:rPr>
        <w:t>亿立方米</w:t>
      </w:r>
      <w:r>
        <w:rPr>
          <w:rFonts w:cs="仿宋_GB2312" w:hint="eastAsia"/>
        </w:rPr>
        <w:t>，</w:t>
      </w:r>
      <w:r>
        <w:rPr>
          <w:rFonts w:hint="eastAsia"/>
        </w:rPr>
        <w:t>风电、太阳能</w:t>
      </w:r>
      <w:r>
        <w:rPr>
          <w:rFonts w:cs="仿宋_GB2312" w:hint="eastAsia"/>
        </w:rPr>
        <w:t>发</w:t>
      </w:r>
      <w:r>
        <w:rPr>
          <w:rFonts w:hint="eastAsia"/>
        </w:rPr>
        <w:t>电总装机容量将达到</w:t>
      </w:r>
      <w:r>
        <w:rPr>
          <w:rFonts w:cs="Times New Roman" w:hint="eastAsia"/>
        </w:rPr>
        <w:t>12</w:t>
      </w:r>
      <w:r>
        <w:rPr>
          <w:rFonts w:hint="eastAsia"/>
        </w:rPr>
        <w:t>亿千瓦以上。“</w:t>
      </w:r>
      <w:r>
        <w:rPr>
          <w:rFonts w:cs="Times New Roman" w:hint="eastAsia"/>
        </w:rPr>
        <w:t>30</w:t>
      </w:r>
      <w:r>
        <w:rPr>
          <w:rFonts w:hint="eastAsia"/>
        </w:rPr>
        <w:t>、</w:t>
      </w:r>
      <w:r>
        <w:rPr>
          <w:rFonts w:cs="Times New Roman" w:hint="eastAsia"/>
        </w:rPr>
        <w:t>60</w:t>
      </w:r>
      <w:r>
        <w:rPr>
          <w:rFonts w:hint="eastAsia"/>
        </w:rPr>
        <w:t>”</w:t>
      </w:r>
      <w:r>
        <w:rPr>
          <w:rFonts w:cs="仿宋_GB2312" w:hint="eastAsia"/>
        </w:rPr>
        <w:t>目标</w:t>
      </w:r>
      <w:r>
        <w:rPr>
          <w:rFonts w:hint="eastAsia"/>
        </w:rPr>
        <w:t>的提出</w:t>
      </w:r>
      <w:r>
        <w:rPr>
          <w:rFonts w:cs="仿宋_GB2312" w:hint="eastAsia"/>
        </w:rPr>
        <w:t>，</w:t>
      </w:r>
      <w:r>
        <w:rPr>
          <w:rFonts w:hint="eastAsia"/>
        </w:rPr>
        <w:t>代表着我</w:t>
      </w:r>
      <w:r>
        <w:rPr>
          <w:rFonts w:cs="仿宋_GB2312" w:hint="eastAsia"/>
        </w:rPr>
        <w:t>国</w:t>
      </w:r>
      <w:r>
        <w:rPr>
          <w:rFonts w:hint="eastAsia"/>
        </w:rPr>
        <w:t>能</w:t>
      </w:r>
      <w:r>
        <w:rPr>
          <w:rFonts w:cs="仿宋_GB2312" w:hint="eastAsia"/>
        </w:rPr>
        <w:t>源</w:t>
      </w:r>
      <w:r>
        <w:rPr>
          <w:rFonts w:hint="eastAsia"/>
        </w:rPr>
        <w:t>低碳转型的坚定决心</w:t>
      </w:r>
      <w:r>
        <w:rPr>
          <w:rFonts w:cs="仿宋_GB2312" w:hint="eastAsia"/>
        </w:rPr>
        <w:t>，指</w:t>
      </w:r>
      <w:r>
        <w:rPr>
          <w:rFonts w:hint="eastAsia"/>
        </w:rPr>
        <w:t>出了新时代低碳</w:t>
      </w:r>
      <w:r>
        <w:rPr>
          <w:rFonts w:cs="仿宋_GB2312" w:hint="eastAsia"/>
        </w:rPr>
        <w:t>发展</w:t>
      </w:r>
      <w:r>
        <w:rPr>
          <w:rFonts w:hint="eastAsia"/>
        </w:rPr>
        <w:t>的具</w:t>
      </w:r>
      <w:r>
        <w:rPr>
          <w:rFonts w:cs="仿宋_GB2312" w:hint="eastAsia"/>
        </w:rPr>
        <w:t>体</w:t>
      </w:r>
      <w:r>
        <w:rPr>
          <w:rFonts w:hint="eastAsia"/>
        </w:rPr>
        <w:t>路径</w:t>
      </w:r>
      <w:r>
        <w:rPr>
          <w:rFonts w:cs="仿宋_GB2312" w:hint="eastAsia"/>
        </w:rPr>
        <w:t>，是</w:t>
      </w:r>
      <w:r>
        <w:rPr>
          <w:rFonts w:hint="eastAsia"/>
        </w:rPr>
        <w:t>我</w:t>
      </w:r>
      <w:r>
        <w:rPr>
          <w:rFonts w:cs="仿宋_GB2312" w:hint="eastAsia"/>
        </w:rPr>
        <w:t>国</w:t>
      </w:r>
      <w:r>
        <w:rPr>
          <w:rFonts w:hint="eastAsia"/>
        </w:rPr>
        <w:t>对</w:t>
      </w:r>
      <w:r>
        <w:rPr>
          <w:rFonts w:cs="仿宋_GB2312" w:hint="eastAsia"/>
        </w:rPr>
        <w:t>国</w:t>
      </w:r>
      <w:r>
        <w:rPr>
          <w:rFonts w:hint="eastAsia"/>
        </w:rPr>
        <w:t>际社会的庄严承诺。</w:t>
      </w:r>
    </w:p>
    <w:p w14:paraId="5F16CDAF" w14:textId="7E9ACC71" w:rsidR="00A739F2" w:rsidRDefault="00FE40F8">
      <w:pPr>
        <w:pStyle w:val="BodyText"/>
      </w:pPr>
      <w:r>
        <w:rPr>
          <w:rFonts w:hint="eastAsia"/>
        </w:rPr>
        <w:t>“十四五”规划</w:t>
      </w:r>
      <w:r w:rsidR="00597D48">
        <w:rPr>
          <w:rFonts w:hint="eastAsia"/>
        </w:rPr>
        <w:t>以来，内蒙古自治区按照可再生能源发展规划确定的发展目标和重点，以风电、太阳能发电为主体的可再生能源加快发展，各类重大项目稳步实施，发展质量效益逐步提高，对全区经济社会发展的支撑、引领作用持续加强。全力推进风电、</w:t>
      </w:r>
      <w:proofErr w:type="gramStart"/>
      <w:r w:rsidR="00597D48">
        <w:rPr>
          <w:rFonts w:hint="eastAsia"/>
        </w:rPr>
        <w:t>光伏等新能源</w:t>
      </w:r>
      <w:proofErr w:type="gramEnd"/>
      <w:r w:rsidR="00597D48">
        <w:rPr>
          <w:rFonts w:hint="eastAsia"/>
        </w:rPr>
        <w:t>大规模高比例开发利用，建设一批</w:t>
      </w:r>
      <w:r w:rsidR="00597D48">
        <w:rPr>
          <w:rFonts w:hint="eastAsia"/>
        </w:rPr>
        <w:lastRenderedPageBreak/>
        <w:t>千万千瓦级新能源基地，在全国率先建成以新能源为主体的能源供给体系、率先构建以新能源为主体的新型电力系统，到</w:t>
      </w:r>
      <w:r w:rsidR="00597D48">
        <w:rPr>
          <w:rFonts w:hint="eastAsia"/>
        </w:rPr>
        <w:t>2025</w:t>
      </w:r>
      <w:r w:rsidR="00597D48">
        <w:rPr>
          <w:rFonts w:hint="eastAsia"/>
        </w:rPr>
        <w:t>年新能源装机规模超过火电装机规模，到</w:t>
      </w:r>
      <w:r w:rsidR="00597D48">
        <w:rPr>
          <w:rFonts w:hint="eastAsia"/>
        </w:rPr>
        <w:t>2030</w:t>
      </w:r>
      <w:r w:rsidR="00597D48">
        <w:rPr>
          <w:rFonts w:hint="eastAsia"/>
        </w:rPr>
        <w:t>年新能源发电总量超过火电发电总量。</w:t>
      </w:r>
    </w:p>
    <w:p w14:paraId="08DD8D9E" w14:textId="77777777" w:rsidR="00A739F2" w:rsidRDefault="00597D48">
      <w:pPr>
        <w:rPr>
          <w:rFonts w:cs="Times New Roman"/>
        </w:rPr>
      </w:pPr>
      <w:r>
        <w:rPr>
          <w:rFonts w:cs="Times New Roman" w:hint="eastAsia"/>
        </w:rPr>
        <w:t>风能和太阳能是清洁的可再生能源，康巴什区风能和太阳能资源</w:t>
      </w:r>
      <w:r>
        <w:rPr>
          <w:rFonts w:cs="Times New Roman" w:hint="eastAsia"/>
        </w:rPr>
        <w:t>丰富、地理条件得天独厚，区内地貌以草地为主，交通便利，具有建设风电及光伏发电项目的优越条件。为全面贯彻落实内蒙古自治区“生态优先、绿色发展”为导向的发展理念，合理有序开发康巴什区的风能和太阳能资源，促进当地经济发展，需要对风电、光</w:t>
      </w:r>
      <w:proofErr w:type="gramStart"/>
      <w:r>
        <w:rPr>
          <w:rFonts w:cs="Times New Roman" w:hint="eastAsia"/>
        </w:rPr>
        <w:t>伏资源</w:t>
      </w:r>
      <w:proofErr w:type="gramEnd"/>
      <w:r>
        <w:rPr>
          <w:rFonts w:cs="Times New Roman" w:hint="eastAsia"/>
        </w:rPr>
        <w:t>进行统筹规划，使康巴什区的可再生能源得到充分合理的开发利用。</w:t>
      </w:r>
    </w:p>
    <w:p w14:paraId="368E8E1D" w14:textId="77777777" w:rsidR="00A739F2" w:rsidRDefault="00597D48">
      <w:pPr>
        <w:rPr>
          <w:rFonts w:cs="Times New Roman"/>
        </w:rPr>
      </w:pPr>
      <w:r>
        <w:rPr>
          <w:rFonts w:cs="Times New Roman" w:hint="eastAsia"/>
        </w:rPr>
        <w:t>鄂尔多斯煤炭产业处于鼎盛时期，但随着我国发展进入“新常态”，鄂尔多斯过去以煤炭开采为单极驱动的发展方式亟须向现代能源经济转型。康巴什区作为鄂尔多斯市高起点规划、高标准建设、高水平管理的新城，是鄂尔多斯</w:t>
      </w:r>
      <w:proofErr w:type="gramStart"/>
      <w:r>
        <w:rPr>
          <w:rFonts w:cs="Times New Roman" w:hint="eastAsia"/>
        </w:rPr>
        <w:t>市展示</w:t>
      </w:r>
      <w:proofErr w:type="gramEnd"/>
      <w:r>
        <w:rPr>
          <w:rFonts w:cs="Times New Roman" w:hint="eastAsia"/>
        </w:rPr>
        <w:t>高质量发</w:t>
      </w:r>
      <w:r>
        <w:rPr>
          <w:rFonts w:cs="Times New Roman" w:hint="eastAsia"/>
        </w:rPr>
        <w:t>展成效的窗口。康巴什区始终秉持绿色发展理念，勇于探索绿色转型发展路径，积极推动城市用能绿色低碳转型，正在建设美丽内蒙古先行区和</w:t>
      </w:r>
      <w:proofErr w:type="gramStart"/>
      <w:r>
        <w:rPr>
          <w:rFonts w:cs="Times New Roman" w:hint="eastAsia"/>
        </w:rPr>
        <w:t>美丽暖城示范区</w:t>
      </w:r>
      <w:proofErr w:type="gramEnd"/>
      <w:r>
        <w:rPr>
          <w:rFonts w:cs="Times New Roman" w:hint="eastAsia"/>
        </w:rPr>
        <w:t>。</w:t>
      </w:r>
    </w:p>
    <w:p w14:paraId="15EEAC5B" w14:textId="77777777" w:rsidR="00A739F2" w:rsidRDefault="00597D48">
      <w:pPr>
        <w:keepNext/>
        <w:outlineLvl w:val="1"/>
        <w:rPr>
          <w:rFonts w:eastAsia="楷体" w:cs="楷体"/>
        </w:rPr>
      </w:pPr>
      <w:bookmarkStart w:id="15" w:name="_Toc28735"/>
      <w:bookmarkStart w:id="16" w:name="_Toc29586"/>
      <w:bookmarkStart w:id="17" w:name="_Toc1899"/>
      <w:bookmarkStart w:id="18" w:name="_Toc15798"/>
      <w:bookmarkStart w:id="19" w:name="_Toc2581"/>
      <w:bookmarkStart w:id="20" w:name="_Toc21084"/>
      <w:bookmarkStart w:id="21" w:name="_Toc21275"/>
      <w:r>
        <w:rPr>
          <w:rFonts w:eastAsia="楷体" w:cs="楷体" w:hint="eastAsia"/>
        </w:rPr>
        <w:lastRenderedPageBreak/>
        <w:t>（二）编制依据</w:t>
      </w:r>
      <w:bookmarkEnd w:id="15"/>
      <w:bookmarkEnd w:id="16"/>
      <w:bookmarkEnd w:id="17"/>
      <w:bookmarkEnd w:id="18"/>
      <w:bookmarkEnd w:id="19"/>
      <w:bookmarkEnd w:id="20"/>
      <w:bookmarkEnd w:id="21"/>
    </w:p>
    <w:p w14:paraId="0056CCEB" w14:textId="77777777" w:rsidR="00A739F2" w:rsidRDefault="00597D48">
      <w:pPr>
        <w:keepNext/>
        <w:keepLines/>
        <w:spacing w:line="360" w:lineRule="auto"/>
        <w:ind w:rightChars="100" w:right="320"/>
        <w:outlineLvl w:val="2"/>
        <w:rPr>
          <w:rFonts w:cs="Times New Roman"/>
          <w:bCs/>
          <w:szCs w:val="28"/>
        </w:rPr>
      </w:pPr>
      <w:bookmarkStart w:id="22" w:name="_Toc50751444"/>
      <w:bookmarkStart w:id="23" w:name="_Toc67609437"/>
      <w:bookmarkStart w:id="24" w:name="_Toc49130164"/>
      <w:bookmarkStart w:id="25" w:name="_Toc22100"/>
      <w:bookmarkStart w:id="26" w:name="_Toc63033164"/>
      <w:bookmarkStart w:id="27" w:name="_Toc5937"/>
      <w:r>
        <w:rPr>
          <w:rFonts w:cs="Times New Roman"/>
          <w:bCs/>
          <w:szCs w:val="28"/>
        </w:rPr>
        <w:t>1</w:t>
      </w:r>
      <w:r>
        <w:rPr>
          <w:rFonts w:cs="Times New Roman" w:hint="eastAsia"/>
          <w:bCs/>
          <w:szCs w:val="28"/>
        </w:rPr>
        <w:t>、</w:t>
      </w:r>
      <w:r>
        <w:rPr>
          <w:rFonts w:cs="Times New Roman"/>
          <w:bCs/>
          <w:szCs w:val="28"/>
        </w:rPr>
        <w:t>能源、土地管理法律法规</w:t>
      </w:r>
      <w:bookmarkEnd w:id="22"/>
      <w:bookmarkEnd w:id="23"/>
      <w:bookmarkEnd w:id="24"/>
      <w:bookmarkEnd w:id="25"/>
      <w:bookmarkEnd w:id="26"/>
      <w:bookmarkEnd w:id="27"/>
    </w:p>
    <w:p w14:paraId="1D000D25"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1</w:t>
      </w:r>
      <w:r>
        <w:rPr>
          <w:rFonts w:eastAsia="仿宋_GB2312" w:cs="Times New Roman"/>
          <w:kern w:val="2"/>
          <w:sz w:val="32"/>
          <w:szCs w:val="22"/>
        </w:rPr>
        <w:t>）《中华人民共和国可再生能源法》（</w:t>
      </w:r>
      <w:r>
        <w:rPr>
          <w:rFonts w:eastAsia="仿宋_GB2312" w:cs="Times New Roman" w:hint="eastAsia"/>
          <w:kern w:val="2"/>
          <w:sz w:val="32"/>
          <w:szCs w:val="22"/>
        </w:rPr>
        <w:t>2005</w:t>
      </w:r>
      <w:r>
        <w:rPr>
          <w:rFonts w:eastAsia="仿宋_GB2312" w:cs="Times New Roman"/>
          <w:kern w:val="2"/>
          <w:sz w:val="32"/>
          <w:szCs w:val="22"/>
        </w:rPr>
        <w:t>.</w:t>
      </w:r>
      <w:r>
        <w:rPr>
          <w:rFonts w:eastAsia="仿宋_GB2312" w:cs="Times New Roman" w:hint="eastAsia"/>
          <w:kern w:val="2"/>
          <w:sz w:val="32"/>
          <w:szCs w:val="22"/>
        </w:rPr>
        <w:t>2</w:t>
      </w:r>
      <w:r>
        <w:rPr>
          <w:rFonts w:eastAsia="仿宋_GB2312" w:cs="Times New Roman"/>
          <w:kern w:val="2"/>
          <w:sz w:val="32"/>
          <w:szCs w:val="22"/>
        </w:rPr>
        <w:t>.</w:t>
      </w:r>
      <w:r>
        <w:rPr>
          <w:rFonts w:eastAsia="仿宋_GB2312" w:cs="Times New Roman" w:hint="eastAsia"/>
          <w:kern w:val="2"/>
          <w:sz w:val="32"/>
          <w:szCs w:val="22"/>
        </w:rPr>
        <w:t>28</w:t>
      </w:r>
      <w:r>
        <w:rPr>
          <w:rFonts w:eastAsia="仿宋_GB2312" w:cs="Times New Roman"/>
          <w:kern w:val="2"/>
          <w:sz w:val="32"/>
          <w:szCs w:val="22"/>
        </w:rPr>
        <w:t>通过，</w:t>
      </w:r>
      <w:r>
        <w:rPr>
          <w:rFonts w:eastAsia="仿宋_GB2312" w:cs="Times New Roman" w:hint="eastAsia"/>
          <w:kern w:val="2"/>
          <w:sz w:val="32"/>
          <w:szCs w:val="22"/>
        </w:rPr>
        <w:t>2009.12.26</w:t>
      </w:r>
      <w:r>
        <w:rPr>
          <w:rFonts w:eastAsia="仿宋_GB2312" w:cs="Times New Roman" w:hint="eastAsia"/>
          <w:kern w:val="2"/>
          <w:sz w:val="32"/>
          <w:szCs w:val="22"/>
        </w:rPr>
        <w:t>修正，</w:t>
      </w:r>
      <w:r>
        <w:rPr>
          <w:rFonts w:eastAsia="仿宋_GB2312" w:cs="Times New Roman"/>
          <w:kern w:val="2"/>
          <w:sz w:val="32"/>
          <w:szCs w:val="22"/>
        </w:rPr>
        <w:t>2010.4.1</w:t>
      </w:r>
      <w:r>
        <w:rPr>
          <w:rFonts w:eastAsia="仿宋_GB2312" w:cs="Times New Roman"/>
          <w:kern w:val="2"/>
          <w:sz w:val="32"/>
          <w:szCs w:val="22"/>
        </w:rPr>
        <w:t>施行）；</w:t>
      </w:r>
    </w:p>
    <w:p w14:paraId="2604F9A5"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2</w:t>
      </w:r>
      <w:r>
        <w:rPr>
          <w:rFonts w:eastAsia="仿宋_GB2312" w:cs="Times New Roman"/>
          <w:kern w:val="2"/>
          <w:sz w:val="32"/>
          <w:szCs w:val="22"/>
        </w:rPr>
        <w:t>）《中华人民共和国清洁生产促进法》（</w:t>
      </w:r>
      <w:r>
        <w:rPr>
          <w:rFonts w:eastAsia="仿宋_GB2312" w:cs="Times New Roman" w:hint="eastAsia"/>
          <w:kern w:val="2"/>
          <w:sz w:val="32"/>
          <w:szCs w:val="22"/>
        </w:rPr>
        <w:t>2002.6.29</w:t>
      </w:r>
      <w:r>
        <w:rPr>
          <w:rFonts w:eastAsia="仿宋_GB2312" w:cs="Times New Roman"/>
          <w:kern w:val="2"/>
          <w:sz w:val="32"/>
          <w:szCs w:val="22"/>
        </w:rPr>
        <w:t>通过，</w:t>
      </w:r>
      <w:r>
        <w:rPr>
          <w:rFonts w:eastAsia="仿宋_GB2312" w:cs="Times New Roman" w:hint="eastAsia"/>
          <w:kern w:val="2"/>
          <w:sz w:val="32"/>
          <w:szCs w:val="22"/>
        </w:rPr>
        <w:t>2012.2.29</w:t>
      </w:r>
      <w:r>
        <w:rPr>
          <w:rFonts w:eastAsia="仿宋_GB2312" w:cs="Times New Roman" w:hint="eastAsia"/>
          <w:kern w:val="2"/>
          <w:sz w:val="32"/>
          <w:szCs w:val="22"/>
        </w:rPr>
        <w:t>修正，</w:t>
      </w:r>
      <w:r>
        <w:rPr>
          <w:rFonts w:eastAsia="仿宋_GB2312" w:cs="Times New Roman" w:hint="eastAsia"/>
          <w:kern w:val="2"/>
          <w:sz w:val="32"/>
          <w:szCs w:val="22"/>
        </w:rPr>
        <w:t>2012.7.1</w:t>
      </w:r>
      <w:r>
        <w:rPr>
          <w:rFonts w:eastAsia="仿宋_GB2312" w:cs="Times New Roman"/>
          <w:kern w:val="2"/>
          <w:sz w:val="32"/>
          <w:szCs w:val="22"/>
        </w:rPr>
        <w:t>施行）；</w:t>
      </w:r>
    </w:p>
    <w:p w14:paraId="27E9EF75"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3</w:t>
      </w:r>
      <w:r>
        <w:rPr>
          <w:rFonts w:eastAsia="仿宋_GB2312" w:cs="Times New Roman"/>
          <w:kern w:val="2"/>
          <w:sz w:val="32"/>
          <w:szCs w:val="22"/>
        </w:rPr>
        <w:t>）《中华人民共和国气象法》（</w:t>
      </w:r>
      <w:r>
        <w:rPr>
          <w:rFonts w:eastAsia="仿宋_GB2312" w:cs="Times New Roman"/>
          <w:kern w:val="2"/>
          <w:sz w:val="32"/>
          <w:szCs w:val="22"/>
        </w:rPr>
        <w:t>1999.10.31</w:t>
      </w:r>
      <w:r>
        <w:rPr>
          <w:rFonts w:eastAsia="仿宋_GB2312" w:cs="Times New Roman"/>
          <w:kern w:val="2"/>
          <w:sz w:val="32"/>
          <w:szCs w:val="22"/>
        </w:rPr>
        <w:t>通过，</w:t>
      </w:r>
      <w:r>
        <w:rPr>
          <w:rFonts w:eastAsia="仿宋_GB2312" w:cs="Times New Roman"/>
          <w:kern w:val="2"/>
          <w:sz w:val="32"/>
          <w:szCs w:val="22"/>
        </w:rPr>
        <w:t>20</w:t>
      </w:r>
      <w:r>
        <w:rPr>
          <w:rFonts w:eastAsia="仿宋_GB2312" w:cs="Times New Roman" w:hint="eastAsia"/>
          <w:kern w:val="2"/>
          <w:sz w:val="32"/>
          <w:szCs w:val="22"/>
        </w:rPr>
        <w:t>16</w:t>
      </w:r>
      <w:r>
        <w:rPr>
          <w:rFonts w:eastAsia="仿宋_GB2312" w:cs="Times New Roman"/>
          <w:kern w:val="2"/>
          <w:sz w:val="32"/>
          <w:szCs w:val="22"/>
        </w:rPr>
        <w:t>.1</w:t>
      </w:r>
      <w:r>
        <w:rPr>
          <w:rFonts w:eastAsia="仿宋_GB2312" w:cs="Times New Roman" w:hint="eastAsia"/>
          <w:kern w:val="2"/>
          <w:sz w:val="32"/>
          <w:szCs w:val="22"/>
        </w:rPr>
        <w:t>1</w:t>
      </w:r>
      <w:r>
        <w:rPr>
          <w:rFonts w:eastAsia="仿宋_GB2312" w:cs="Times New Roman"/>
          <w:kern w:val="2"/>
          <w:sz w:val="32"/>
          <w:szCs w:val="22"/>
        </w:rPr>
        <w:t>.</w:t>
      </w:r>
      <w:r>
        <w:rPr>
          <w:rFonts w:eastAsia="仿宋_GB2312" w:cs="Times New Roman" w:hint="eastAsia"/>
          <w:kern w:val="2"/>
          <w:sz w:val="32"/>
          <w:szCs w:val="22"/>
        </w:rPr>
        <w:t>07</w:t>
      </w:r>
      <w:r>
        <w:rPr>
          <w:rFonts w:eastAsia="仿宋_GB2312" w:cs="Times New Roman" w:hint="eastAsia"/>
          <w:kern w:val="2"/>
          <w:sz w:val="32"/>
          <w:szCs w:val="22"/>
        </w:rPr>
        <w:t>修正并</w:t>
      </w:r>
      <w:r>
        <w:rPr>
          <w:rFonts w:eastAsia="仿宋_GB2312" w:cs="Times New Roman"/>
          <w:kern w:val="2"/>
          <w:sz w:val="32"/>
          <w:szCs w:val="22"/>
        </w:rPr>
        <w:t>施行）；</w:t>
      </w:r>
    </w:p>
    <w:p w14:paraId="54941E0A"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4</w:t>
      </w:r>
      <w:r>
        <w:rPr>
          <w:rFonts w:eastAsia="仿宋_GB2312" w:cs="Times New Roman"/>
          <w:kern w:val="2"/>
          <w:sz w:val="32"/>
          <w:szCs w:val="22"/>
        </w:rPr>
        <w:t>）《中华人民共和国土地管理法》（</w:t>
      </w:r>
      <w:r>
        <w:rPr>
          <w:rFonts w:eastAsia="仿宋_GB2312" w:cs="Times New Roman"/>
          <w:kern w:val="2"/>
          <w:sz w:val="32"/>
          <w:szCs w:val="22"/>
        </w:rPr>
        <w:t>1986.</w:t>
      </w:r>
      <w:r>
        <w:rPr>
          <w:rFonts w:eastAsia="仿宋_GB2312" w:cs="Times New Roman" w:hint="eastAsia"/>
          <w:kern w:val="2"/>
          <w:sz w:val="32"/>
          <w:szCs w:val="22"/>
        </w:rPr>
        <w:t>0</w:t>
      </w:r>
      <w:r>
        <w:rPr>
          <w:rFonts w:eastAsia="仿宋_GB2312" w:cs="Times New Roman"/>
          <w:kern w:val="2"/>
          <w:sz w:val="32"/>
          <w:szCs w:val="22"/>
        </w:rPr>
        <w:t>6.25</w:t>
      </w:r>
      <w:r>
        <w:rPr>
          <w:rFonts w:eastAsia="仿宋_GB2312" w:cs="Times New Roman"/>
          <w:kern w:val="2"/>
          <w:sz w:val="32"/>
          <w:szCs w:val="22"/>
        </w:rPr>
        <w:t>通过，</w:t>
      </w:r>
      <w:r>
        <w:rPr>
          <w:rFonts w:eastAsia="仿宋_GB2312" w:cs="Times New Roman"/>
          <w:kern w:val="2"/>
          <w:sz w:val="32"/>
          <w:szCs w:val="22"/>
        </w:rPr>
        <w:t>2019.8.26</w:t>
      </w:r>
      <w:r>
        <w:rPr>
          <w:rFonts w:eastAsia="仿宋_GB2312" w:cs="Times New Roman" w:hint="eastAsia"/>
          <w:kern w:val="2"/>
          <w:sz w:val="32"/>
          <w:szCs w:val="22"/>
        </w:rPr>
        <w:t>修正</w:t>
      </w:r>
      <w:r>
        <w:rPr>
          <w:rFonts w:eastAsia="仿宋_GB2312" w:cs="Times New Roman"/>
          <w:kern w:val="2"/>
          <w:sz w:val="32"/>
          <w:szCs w:val="22"/>
        </w:rPr>
        <w:t>，</w:t>
      </w:r>
      <w:r>
        <w:rPr>
          <w:rFonts w:eastAsia="仿宋_GB2312" w:cs="Times New Roman"/>
          <w:kern w:val="2"/>
          <w:sz w:val="32"/>
          <w:szCs w:val="22"/>
        </w:rPr>
        <w:t>2019.</w:t>
      </w:r>
      <w:r>
        <w:rPr>
          <w:rFonts w:eastAsia="仿宋_GB2312" w:cs="Times New Roman" w:hint="eastAsia"/>
          <w:kern w:val="2"/>
          <w:sz w:val="32"/>
          <w:szCs w:val="22"/>
        </w:rPr>
        <w:t>0</w:t>
      </w:r>
      <w:r>
        <w:rPr>
          <w:rFonts w:eastAsia="仿宋_GB2312" w:cs="Times New Roman"/>
          <w:kern w:val="2"/>
          <w:sz w:val="32"/>
          <w:szCs w:val="22"/>
        </w:rPr>
        <w:t>9.</w:t>
      </w:r>
      <w:r>
        <w:rPr>
          <w:rFonts w:eastAsia="仿宋_GB2312" w:cs="Times New Roman" w:hint="eastAsia"/>
          <w:kern w:val="2"/>
          <w:sz w:val="32"/>
          <w:szCs w:val="22"/>
        </w:rPr>
        <w:t>0</w:t>
      </w:r>
      <w:r>
        <w:rPr>
          <w:rFonts w:eastAsia="仿宋_GB2312" w:cs="Times New Roman"/>
          <w:kern w:val="2"/>
          <w:sz w:val="32"/>
          <w:szCs w:val="22"/>
        </w:rPr>
        <w:t>6</w:t>
      </w:r>
      <w:r>
        <w:rPr>
          <w:rFonts w:eastAsia="仿宋_GB2312" w:cs="Times New Roman"/>
          <w:kern w:val="2"/>
          <w:sz w:val="32"/>
          <w:szCs w:val="22"/>
        </w:rPr>
        <w:t>施行）；</w:t>
      </w:r>
    </w:p>
    <w:p w14:paraId="51514ADC"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5</w:t>
      </w:r>
      <w:r>
        <w:rPr>
          <w:rFonts w:eastAsia="仿宋_GB2312" w:cs="Times New Roman"/>
          <w:kern w:val="2"/>
          <w:sz w:val="32"/>
          <w:szCs w:val="22"/>
        </w:rPr>
        <w:t>）《中华人民共和国环境保护法》（</w:t>
      </w:r>
      <w:r>
        <w:rPr>
          <w:rFonts w:eastAsia="仿宋_GB2312" w:cs="Times New Roman"/>
          <w:kern w:val="2"/>
          <w:sz w:val="32"/>
          <w:szCs w:val="22"/>
        </w:rPr>
        <w:t>2014.</w:t>
      </w:r>
      <w:r>
        <w:rPr>
          <w:rFonts w:eastAsia="仿宋_GB2312" w:cs="Times New Roman" w:hint="eastAsia"/>
          <w:kern w:val="2"/>
          <w:sz w:val="32"/>
          <w:szCs w:val="22"/>
        </w:rPr>
        <w:t>0</w:t>
      </w:r>
      <w:r>
        <w:rPr>
          <w:rFonts w:eastAsia="仿宋_GB2312" w:cs="Times New Roman"/>
          <w:kern w:val="2"/>
          <w:sz w:val="32"/>
          <w:szCs w:val="22"/>
        </w:rPr>
        <w:t>4.24</w:t>
      </w:r>
      <w:r>
        <w:rPr>
          <w:rFonts w:eastAsia="仿宋_GB2312" w:cs="Times New Roman"/>
          <w:kern w:val="2"/>
          <w:sz w:val="32"/>
          <w:szCs w:val="22"/>
        </w:rPr>
        <w:t>通过，</w:t>
      </w:r>
      <w:r>
        <w:rPr>
          <w:rFonts w:eastAsia="仿宋_GB2312" w:cs="Times New Roman"/>
          <w:kern w:val="2"/>
          <w:sz w:val="32"/>
          <w:szCs w:val="22"/>
        </w:rPr>
        <w:t>2015.</w:t>
      </w:r>
      <w:r>
        <w:rPr>
          <w:rFonts w:eastAsia="仿宋_GB2312" w:cs="Times New Roman" w:hint="eastAsia"/>
          <w:kern w:val="2"/>
          <w:sz w:val="32"/>
          <w:szCs w:val="22"/>
        </w:rPr>
        <w:t>0</w:t>
      </w:r>
      <w:r>
        <w:rPr>
          <w:rFonts w:eastAsia="仿宋_GB2312" w:cs="Times New Roman"/>
          <w:kern w:val="2"/>
          <w:sz w:val="32"/>
          <w:szCs w:val="22"/>
        </w:rPr>
        <w:t>1.</w:t>
      </w:r>
      <w:r>
        <w:rPr>
          <w:rFonts w:eastAsia="仿宋_GB2312" w:cs="Times New Roman" w:hint="eastAsia"/>
          <w:kern w:val="2"/>
          <w:sz w:val="32"/>
          <w:szCs w:val="22"/>
        </w:rPr>
        <w:t>0</w:t>
      </w:r>
      <w:r>
        <w:rPr>
          <w:rFonts w:eastAsia="仿宋_GB2312" w:cs="Times New Roman"/>
          <w:kern w:val="2"/>
          <w:sz w:val="32"/>
          <w:szCs w:val="22"/>
        </w:rPr>
        <w:t>1</w:t>
      </w:r>
      <w:r>
        <w:rPr>
          <w:rFonts w:eastAsia="仿宋_GB2312" w:cs="Times New Roman"/>
          <w:kern w:val="2"/>
          <w:sz w:val="32"/>
          <w:szCs w:val="22"/>
        </w:rPr>
        <w:t>施行）；</w:t>
      </w:r>
    </w:p>
    <w:p w14:paraId="36B1C2F9"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6</w:t>
      </w:r>
      <w:r>
        <w:rPr>
          <w:rFonts w:eastAsia="仿宋_GB2312" w:cs="Times New Roman"/>
          <w:kern w:val="2"/>
          <w:sz w:val="32"/>
          <w:szCs w:val="22"/>
        </w:rPr>
        <w:t>）《中华人民共和国环境影响评价法》（</w:t>
      </w:r>
      <w:r>
        <w:rPr>
          <w:rFonts w:eastAsia="仿宋_GB2312" w:cs="Times New Roman" w:hint="eastAsia"/>
          <w:kern w:val="2"/>
          <w:sz w:val="32"/>
          <w:szCs w:val="22"/>
        </w:rPr>
        <w:t>2002</w:t>
      </w:r>
      <w:r>
        <w:rPr>
          <w:rFonts w:eastAsia="仿宋_GB2312" w:cs="Times New Roman"/>
          <w:kern w:val="2"/>
          <w:sz w:val="32"/>
          <w:szCs w:val="22"/>
        </w:rPr>
        <w:t>.</w:t>
      </w:r>
      <w:r>
        <w:rPr>
          <w:rFonts w:eastAsia="仿宋_GB2312" w:cs="Times New Roman" w:hint="eastAsia"/>
          <w:kern w:val="2"/>
          <w:sz w:val="32"/>
          <w:szCs w:val="22"/>
        </w:rPr>
        <w:t>10</w:t>
      </w:r>
      <w:r>
        <w:rPr>
          <w:rFonts w:eastAsia="仿宋_GB2312" w:cs="Times New Roman"/>
          <w:kern w:val="2"/>
          <w:sz w:val="32"/>
          <w:szCs w:val="22"/>
        </w:rPr>
        <w:t>.</w:t>
      </w:r>
      <w:r>
        <w:rPr>
          <w:rFonts w:eastAsia="仿宋_GB2312" w:cs="Times New Roman" w:hint="eastAsia"/>
          <w:kern w:val="2"/>
          <w:sz w:val="32"/>
          <w:szCs w:val="22"/>
        </w:rPr>
        <w:t>28</w:t>
      </w:r>
      <w:r>
        <w:rPr>
          <w:rFonts w:eastAsia="仿宋_GB2312" w:cs="Times New Roman" w:hint="eastAsia"/>
          <w:kern w:val="2"/>
          <w:sz w:val="32"/>
          <w:szCs w:val="22"/>
        </w:rPr>
        <w:t>通过</w:t>
      </w:r>
      <w:r>
        <w:rPr>
          <w:rFonts w:eastAsia="仿宋_GB2312" w:cs="Times New Roman"/>
          <w:kern w:val="2"/>
          <w:sz w:val="32"/>
          <w:szCs w:val="22"/>
        </w:rPr>
        <w:t>，</w:t>
      </w:r>
      <w:r>
        <w:rPr>
          <w:rFonts w:eastAsia="仿宋_GB2312" w:cs="Times New Roman"/>
          <w:kern w:val="2"/>
          <w:sz w:val="32"/>
          <w:szCs w:val="22"/>
        </w:rPr>
        <w:t>20</w:t>
      </w:r>
      <w:r>
        <w:rPr>
          <w:rFonts w:eastAsia="仿宋_GB2312" w:cs="Times New Roman" w:hint="eastAsia"/>
          <w:kern w:val="2"/>
          <w:sz w:val="32"/>
          <w:szCs w:val="22"/>
        </w:rPr>
        <w:t>03</w:t>
      </w:r>
      <w:r>
        <w:rPr>
          <w:rFonts w:eastAsia="仿宋_GB2312" w:cs="Times New Roman"/>
          <w:kern w:val="2"/>
          <w:sz w:val="32"/>
          <w:szCs w:val="22"/>
        </w:rPr>
        <w:t>.</w:t>
      </w:r>
      <w:r>
        <w:rPr>
          <w:rFonts w:eastAsia="仿宋_GB2312" w:cs="Times New Roman" w:hint="eastAsia"/>
          <w:kern w:val="2"/>
          <w:sz w:val="32"/>
          <w:szCs w:val="22"/>
        </w:rPr>
        <w:t>09</w:t>
      </w:r>
      <w:r>
        <w:rPr>
          <w:rFonts w:eastAsia="仿宋_GB2312" w:cs="Times New Roman"/>
          <w:kern w:val="2"/>
          <w:sz w:val="32"/>
          <w:szCs w:val="22"/>
        </w:rPr>
        <w:t>.</w:t>
      </w:r>
      <w:r>
        <w:rPr>
          <w:rFonts w:eastAsia="仿宋_GB2312" w:cs="Times New Roman" w:hint="eastAsia"/>
          <w:kern w:val="2"/>
          <w:sz w:val="32"/>
          <w:szCs w:val="22"/>
        </w:rPr>
        <w:t>01</w:t>
      </w:r>
      <w:r>
        <w:rPr>
          <w:rFonts w:eastAsia="仿宋_GB2312" w:cs="Times New Roman" w:hint="eastAsia"/>
          <w:kern w:val="2"/>
          <w:sz w:val="32"/>
          <w:szCs w:val="22"/>
        </w:rPr>
        <w:t>施行</w:t>
      </w:r>
      <w:r>
        <w:rPr>
          <w:rFonts w:eastAsia="仿宋_GB2312" w:cs="Times New Roman"/>
          <w:kern w:val="2"/>
          <w:sz w:val="32"/>
          <w:szCs w:val="22"/>
        </w:rPr>
        <w:t>）；</w:t>
      </w:r>
    </w:p>
    <w:p w14:paraId="5C919742"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7</w:t>
      </w:r>
      <w:r>
        <w:rPr>
          <w:rFonts w:eastAsia="仿宋_GB2312" w:cs="Times New Roman"/>
          <w:kern w:val="2"/>
          <w:sz w:val="32"/>
          <w:szCs w:val="22"/>
        </w:rPr>
        <w:t>）《中华人民共和国水土保持法》（</w:t>
      </w:r>
      <w:r>
        <w:rPr>
          <w:rFonts w:eastAsia="仿宋_GB2312" w:cs="Times New Roman" w:hint="eastAsia"/>
          <w:kern w:val="2"/>
          <w:sz w:val="32"/>
          <w:szCs w:val="22"/>
        </w:rPr>
        <w:t>1991.6.29</w:t>
      </w:r>
      <w:r>
        <w:rPr>
          <w:rFonts w:eastAsia="仿宋_GB2312" w:cs="Times New Roman"/>
          <w:kern w:val="2"/>
          <w:sz w:val="32"/>
          <w:szCs w:val="22"/>
        </w:rPr>
        <w:t>通过，</w:t>
      </w:r>
      <w:r>
        <w:rPr>
          <w:rFonts w:eastAsia="仿宋_GB2312" w:cs="Times New Roman" w:hint="eastAsia"/>
          <w:kern w:val="2"/>
          <w:sz w:val="32"/>
          <w:szCs w:val="22"/>
        </w:rPr>
        <w:t>2010.12.25</w:t>
      </w:r>
      <w:r>
        <w:rPr>
          <w:rFonts w:eastAsia="仿宋_GB2312" w:cs="Times New Roman" w:hint="eastAsia"/>
          <w:kern w:val="2"/>
          <w:sz w:val="32"/>
          <w:szCs w:val="22"/>
        </w:rPr>
        <w:t>修正，</w:t>
      </w:r>
      <w:r>
        <w:rPr>
          <w:rFonts w:eastAsia="仿宋_GB2312" w:cs="Times New Roman"/>
          <w:kern w:val="2"/>
          <w:sz w:val="32"/>
          <w:szCs w:val="22"/>
        </w:rPr>
        <w:t>2011.</w:t>
      </w:r>
      <w:r>
        <w:rPr>
          <w:rFonts w:eastAsia="仿宋_GB2312" w:cs="Times New Roman" w:hint="eastAsia"/>
          <w:kern w:val="2"/>
          <w:sz w:val="32"/>
          <w:szCs w:val="22"/>
        </w:rPr>
        <w:t>0</w:t>
      </w:r>
      <w:r>
        <w:rPr>
          <w:rFonts w:eastAsia="仿宋_GB2312" w:cs="Times New Roman"/>
          <w:kern w:val="2"/>
          <w:sz w:val="32"/>
          <w:szCs w:val="22"/>
        </w:rPr>
        <w:t>3.</w:t>
      </w:r>
      <w:r>
        <w:rPr>
          <w:rFonts w:eastAsia="仿宋_GB2312" w:cs="Times New Roman" w:hint="eastAsia"/>
          <w:kern w:val="2"/>
          <w:sz w:val="32"/>
          <w:szCs w:val="22"/>
        </w:rPr>
        <w:t>0</w:t>
      </w:r>
      <w:r>
        <w:rPr>
          <w:rFonts w:eastAsia="仿宋_GB2312" w:cs="Times New Roman"/>
          <w:kern w:val="2"/>
          <w:sz w:val="32"/>
          <w:szCs w:val="22"/>
        </w:rPr>
        <w:t>1</w:t>
      </w:r>
      <w:r>
        <w:rPr>
          <w:rFonts w:eastAsia="仿宋_GB2312" w:cs="Times New Roman"/>
          <w:kern w:val="2"/>
          <w:sz w:val="32"/>
          <w:szCs w:val="22"/>
        </w:rPr>
        <w:t>施行）；</w:t>
      </w:r>
    </w:p>
    <w:p w14:paraId="58649FC8"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8</w:t>
      </w:r>
      <w:r>
        <w:rPr>
          <w:rFonts w:eastAsia="仿宋_GB2312" w:cs="Times New Roman"/>
          <w:kern w:val="2"/>
          <w:sz w:val="32"/>
          <w:szCs w:val="22"/>
        </w:rPr>
        <w:t>）《中华人民共和国草原法》（</w:t>
      </w:r>
      <w:r>
        <w:rPr>
          <w:rFonts w:eastAsia="仿宋_GB2312" w:cs="Times New Roman" w:hint="eastAsia"/>
          <w:kern w:val="2"/>
          <w:sz w:val="32"/>
          <w:szCs w:val="22"/>
        </w:rPr>
        <w:t>1985</w:t>
      </w:r>
      <w:r>
        <w:rPr>
          <w:rFonts w:eastAsia="仿宋_GB2312" w:cs="Times New Roman"/>
          <w:kern w:val="2"/>
          <w:sz w:val="32"/>
          <w:szCs w:val="22"/>
        </w:rPr>
        <w:t>.</w:t>
      </w:r>
      <w:r>
        <w:rPr>
          <w:rFonts w:eastAsia="仿宋_GB2312" w:cs="Times New Roman" w:hint="eastAsia"/>
          <w:kern w:val="2"/>
          <w:sz w:val="32"/>
          <w:szCs w:val="22"/>
        </w:rPr>
        <w:t>6</w:t>
      </w:r>
      <w:r>
        <w:rPr>
          <w:rFonts w:eastAsia="仿宋_GB2312" w:cs="Times New Roman"/>
          <w:kern w:val="2"/>
          <w:sz w:val="32"/>
          <w:szCs w:val="22"/>
        </w:rPr>
        <w:t>.</w:t>
      </w:r>
      <w:r>
        <w:rPr>
          <w:rFonts w:eastAsia="仿宋_GB2312" w:cs="Times New Roman" w:hint="eastAsia"/>
          <w:kern w:val="2"/>
          <w:sz w:val="32"/>
          <w:szCs w:val="22"/>
        </w:rPr>
        <w:t>18</w:t>
      </w:r>
      <w:r>
        <w:rPr>
          <w:rFonts w:eastAsia="仿宋_GB2312" w:cs="Times New Roman"/>
          <w:kern w:val="2"/>
          <w:sz w:val="32"/>
          <w:szCs w:val="22"/>
        </w:rPr>
        <w:t>通过，</w:t>
      </w:r>
      <w:r>
        <w:rPr>
          <w:rFonts w:eastAsia="仿宋_GB2312" w:cs="Times New Roman" w:hint="eastAsia"/>
          <w:kern w:val="2"/>
          <w:sz w:val="32"/>
          <w:szCs w:val="22"/>
        </w:rPr>
        <w:t>2021.04.29</w:t>
      </w:r>
      <w:r>
        <w:rPr>
          <w:rFonts w:eastAsia="仿宋_GB2312" w:cs="Times New Roman" w:hint="eastAsia"/>
          <w:kern w:val="2"/>
          <w:sz w:val="32"/>
          <w:szCs w:val="22"/>
        </w:rPr>
        <w:t>修正并施行</w:t>
      </w:r>
      <w:r>
        <w:rPr>
          <w:rFonts w:eastAsia="仿宋_GB2312" w:cs="Times New Roman"/>
          <w:kern w:val="2"/>
          <w:sz w:val="32"/>
          <w:szCs w:val="22"/>
        </w:rPr>
        <w:t>）；</w:t>
      </w:r>
    </w:p>
    <w:p w14:paraId="2752AF92"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9</w:t>
      </w:r>
      <w:r>
        <w:rPr>
          <w:rFonts w:eastAsia="仿宋_GB2312" w:cs="Times New Roman"/>
          <w:kern w:val="2"/>
          <w:sz w:val="32"/>
          <w:szCs w:val="22"/>
        </w:rPr>
        <w:t>）《中华人民共和国水法》（</w:t>
      </w:r>
      <w:r>
        <w:rPr>
          <w:rFonts w:eastAsia="仿宋_GB2312" w:cs="Times New Roman"/>
          <w:kern w:val="2"/>
          <w:sz w:val="32"/>
          <w:szCs w:val="22"/>
        </w:rPr>
        <w:t>2002.8.29</w:t>
      </w:r>
      <w:r>
        <w:rPr>
          <w:rFonts w:eastAsia="仿宋_GB2312" w:cs="Times New Roman"/>
          <w:kern w:val="2"/>
          <w:sz w:val="32"/>
          <w:szCs w:val="22"/>
        </w:rPr>
        <w:t>通过，</w:t>
      </w:r>
      <w:r>
        <w:rPr>
          <w:rFonts w:eastAsia="仿宋_GB2312" w:cs="Times New Roman"/>
          <w:kern w:val="2"/>
          <w:sz w:val="32"/>
          <w:szCs w:val="22"/>
        </w:rPr>
        <w:t>2002.10.</w:t>
      </w:r>
      <w:r>
        <w:rPr>
          <w:rFonts w:eastAsia="仿宋_GB2312" w:cs="Times New Roman" w:hint="eastAsia"/>
          <w:kern w:val="2"/>
          <w:sz w:val="32"/>
          <w:szCs w:val="22"/>
        </w:rPr>
        <w:t>0</w:t>
      </w:r>
      <w:r>
        <w:rPr>
          <w:rFonts w:eastAsia="仿宋_GB2312" w:cs="Times New Roman"/>
          <w:kern w:val="2"/>
          <w:sz w:val="32"/>
          <w:szCs w:val="22"/>
        </w:rPr>
        <w:t>1</w:t>
      </w:r>
      <w:r>
        <w:rPr>
          <w:rFonts w:eastAsia="仿宋_GB2312" w:cs="Times New Roman"/>
          <w:kern w:val="2"/>
          <w:sz w:val="32"/>
          <w:szCs w:val="22"/>
        </w:rPr>
        <w:t>施行）；</w:t>
      </w:r>
    </w:p>
    <w:p w14:paraId="2A264DCE"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lastRenderedPageBreak/>
        <w:t>（</w:t>
      </w:r>
      <w:r>
        <w:rPr>
          <w:rFonts w:eastAsia="仿宋_GB2312" w:cs="Times New Roman"/>
          <w:kern w:val="2"/>
          <w:sz w:val="32"/>
          <w:szCs w:val="22"/>
        </w:rPr>
        <w:t>10</w:t>
      </w:r>
      <w:r>
        <w:rPr>
          <w:rFonts w:eastAsia="仿宋_GB2312" w:cs="Times New Roman"/>
          <w:kern w:val="2"/>
          <w:sz w:val="32"/>
          <w:szCs w:val="22"/>
        </w:rPr>
        <w:t>）《中华人民共和国水污染防治法》（</w:t>
      </w:r>
      <w:r>
        <w:rPr>
          <w:rFonts w:eastAsia="仿宋_GB2312" w:cs="Times New Roman"/>
          <w:kern w:val="2"/>
          <w:sz w:val="32"/>
          <w:szCs w:val="22"/>
        </w:rPr>
        <w:t>2008.2.28</w:t>
      </w:r>
      <w:r>
        <w:rPr>
          <w:rFonts w:eastAsia="仿宋_GB2312" w:cs="Times New Roman"/>
          <w:kern w:val="2"/>
          <w:sz w:val="32"/>
          <w:szCs w:val="22"/>
        </w:rPr>
        <w:t>通过，</w:t>
      </w:r>
      <w:r>
        <w:rPr>
          <w:rFonts w:eastAsia="仿宋_GB2312" w:cs="Times New Roman"/>
          <w:kern w:val="2"/>
          <w:sz w:val="32"/>
          <w:szCs w:val="22"/>
        </w:rPr>
        <w:t>20</w:t>
      </w:r>
      <w:r>
        <w:rPr>
          <w:rFonts w:eastAsia="仿宋_GB2312" w:cs="Times New Roman" w:hint="eastAsia"/>
          <w:kern w:val="2"/>
          <w:sz w:val="32"/>
          <w:szCs w:val="22"/>
        </w:rPr>
        <w:t>0</w:t>
      </w:r>
      <w:r>
        <w:rPr>
          <w:rFonts w:eastAsia="仿宋_GB2312" w:cs="Times New Roman"/>
          <w:kern w:val="2"/>
          <w:sz w:val="32"/>
          <w:szCs w:val="22"/>
        </w:rPr>
        <w:t>8.</w:t>
      </w:r>
      <w:r>
        <w:rPr>
          <w:rFonts w:eastAsia="仿宋_GB2312" w:cs="Times New Roman" w:hint="eastAsia"/>
          <w:kern w:val="2"/>
          <w:sz w:val="32"/>
          <w:szCs w:val="22"/>
        </w:rPr>
        <w:t>06</w:t>
      </w:r>
      <w:r>
        <w:rPr>
          <w:rFonts w:eastAsia="仿宋_GB2312" w:cs="Times New Roman"/>
          <w:kern w:val="2"/>
          <w:sz w:val="32"/>
          <w:szCs w:val="22"/>
        </w:rPr>
        <w:t>.</w:t>
      </w:r>
      <w:r>
        <w:rPr>
          <w:rFonts w:eastAsia="仿宋_GB2312" w:cs="Times New Roman" w:hint="eastAsia"/>
          <w:kern w:val="2"/>
          <w:sz w:val="32"/>
          <w:szCs w:val="22"/>
        </w:rPr>
        <w:t>0</w:t>
      </w:r>
      <w:r>
        <w:rPr>
          <w:rFonts w:eastAsia="仿宋_GB2312" w:cs="Times New Roman"/>
          <w:kern w:val="2"/>
          <w:sz w:val="32"/>
          <w:szCs w:val="22"/>
        </w:rPr>
        <w:t>1</w:t>
      </w:r>
      <w:r>
        <w:rPr>
          <w:rFonts w:eastAsia="仿宋_GB2312" w:cs="Times New Roman"/>
          <w:kern w:val="2"/>
          <w:sz w:val="32"/>
          <w:szCs w:val="22"/>
        </w:rPr>
        <w:t>施行）。</w:t>
      </w:r>
    </w:p>
    <w:p w14:paraId="1A83A28B" w14:textId="77777777" w:rsidR="00A739F2" w:rsidRDefault="00597D48">
      <w:pPr>
        <w:keepNext/>
        <w:keepLines/>
        <w:spacing w:line="360" w:lineRule="auto"/>
        <w:ind w:rightChars="100" w:right="320"/>
        <w:outlineLvl w:val="2"/>
        <w:rPr>
          <w:rFonts w:cs="Times New Roman"/>
          <w:bCs/>
          <w:szCs w:val="28"/>
        </w:rPr>
      </w:pPr>
      <w:bookmarkStart w:id="28" w:name="_Toc67609438"/>
      <w:bookmarkStart w:id="29" w:name="_Toc63033165"/>
      <w:bookmarkStart w:id="30" w:name="_Toc50751445"/>
      <w:bookmarkStart w:id="31" w:name="_Toc49130165"/>
      <w:bookmarkStart w:id="32" w:name="_Toc6360"/>
      <w:bookmarkStart w:id="33" w:name="_Toc31867"/>
      <w:r>
        <w:rPr>
          <w:rFonts w:cs="Times New Roman" w:hint="eastAsia"/>
          <w:bCs/>
          <w:szCs w:val="28"/>
        </w:rPr>
        <w:t>2</w:t>
      </w:r>
      <w:r>
        <w:rPr>
          <w:rFonts w:cs="Times New Roman" w:hint="eastAsia"/>
          <w:bCs/>
          <w:szCs w:val="28"/>
        </w:rPr>
        <w:t>、</w:t>
      </w:r>
      <w:r>
        <w:rPr>
          <w:rFonts w:cs="Times New Roman"/>
          <w:bCs/>
          <w:szCs w:val="28"/>
        </w:rPr>
        <w:t>指导性文件及相关规划</w:t>
      </w:r>
      <w:bookmarkEnd w:id="28"/>
      <w:bookmarkEnd w:id="29"/>
      <w:bookmarkEnd w:id="30"/>
      <w:bookmarkEnd w:id="31"/>
      <w:bookmarkEnd w:id="32"/>
      <w:bookmarkEnd w:id="33"/>
    </w:p>
    <w:p w14:paraId="46FF65A5"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1</w:t>
      </w:r>
      <w:r>
        <w:rPr>
          <w:rFonts w:eastAsia="仿宋_GB2312" w:cs="Times New Roman"/>
          <w:kern w:val="2"/>
          <w:sz w:val="32"/>
          <w:szCs w:val="22"/>
        </w:rPr>
        <w:t>）《产业结构调整指导目录（</w:t>
      </w:r>
      <w:r>
        <w:rPr>
          <w:rFonts w:eastAsia="仿宋_GB2312" w:cs="Times New Roman"/>
          <w:kern w:val="2"/>
          <w:sz w:val="32"/>
          <w:szCs w:val="22"/>
        </w:rPr>
        <w:t>20</w:t>
      </w:r>
      <w:r>
        <w:rPr>
          <w:rFonts w:eastAsia="仿宋_GB2312" w:cs="Times New Roman" w:hint="eastAsia"/>
          <w:kern w:val="2"/>
          <w:sz w:val="32"/>
          <w:szCs w:val="22"/>
        </w:rPr>
        <w:t>24</w:t>
      </w:r>
      <w:r>
        <w:rPr>
          <w:rFonts w:eastAsia="仿宋_GB2312" w:cs="Times New Roman"/>
          <w:kern w:val="2"/>
          <w:sz w:val="32"/>
          <w:szCs w:val="22"/>
        </w:rPr>
        <w:t>年本）》（发展改革委令</w:t>
      </w:r>
      <w:r>
        <w:rPr>
          <w:rFonts w:eastAsia="仿宋_GB2312" w:cs="Times New Roman"/>
          <w:kern w:val="2"/>
          <w:sz w:val="32"/>
          <w:szCs w:val="22"/>
        </w:rPr>
        <w:t>20</w:t>
      </w:r>
      <w:r>
        <w:rPr>
          <w:rFonts w:eastAsia="仿宋_GB2312" w:cs="Times New Roman" w:hint="eastAsia"/>
          <w:kern w:val="2"/>
          <w:sz w:val="32"/>
          <w:szCs w:val="22"/>
        </w:rPr>
        <w:t>24</w:t>
      </w:r>
      <w:r>
        <w:rPr>
          <w:rFonts w:eastAsia="仿宋_GB2312" w:cs="Times New Roman"/>
          <w:kern w:val="2"/>
          <w:sz w:val="32"/>
          <w:szCs w:val="22"/>
        </w:rPr>
        <w:t>第</w:t>
      </w:r>
      <w:r>
        <w:rPr>
          <w:rFonts w:eastAsia="仿宋_GB2312" w:cs="Times New Roman" w:hint="eastAsia"/>
          <w:kern w:val="2"/>
          <w:sz w:val="32"/>
          <w:szCs w:val="22"/>
        </w:rPr>
        <w:t>7</w:t>
      </w:r>
      <w:r>
        <w:rPr>
          <w:rFonts w:eastAsia="仿宋_GB2312" w:cs="Times New Roman"/>
          <w:kern w:val="2"/>
          <w:sz w:val="32"/>
          <w:szCs w:val="22"/>
        </w:rPr>
        <w:t>号）；</w:t>
      </w:r>
    </w:p>
    <w:p w14:paraId="4EEB38CB"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2</w:t>
      </w:r>
      <w:r>
        <w:rPr>
          <w:rFonts w:eastAsia="仿宋_GB2312" w:cs="Times New Roman"/>
          <w:kern w:val="2"/>
          <w:sz w:val="32"/>
          <w:szCs w:val="22"/>
        </w:rPr>
        <w:t>）《中华人民共和国自然保护区条例》（国务院令第</w:t>
      </w:r>
      <w:r>
        <w:rPr>
          <w:rFonts w:eastAsia="仿宋_GB2312" w:cs="Times New Roman"/>
          <w:kern w:val="2"/>
          <w:sz w:val="32"/>
          <w:szCs w:val="22"/>
        </w:rPr>
        <w:t>167</w:t>
      </w:r>
      <w:r>
        <w:rPr>
          <w:rFonts w:eastAsia="仿宋_GB2312" w:cs="Times New Roman"/>
          <w:kern w:val="2"/>
          <w:sz w:val="32"/>
          <w:szCs w:val="22"/>
        </w:rPr>
        <w:t>号）；</w:t>
      </w:r>
    </w:p>
    <w:p w14:paraId="30EE9305"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3</w:t>
      </w:r>
      <w:r>
        <w:rPr>
          <w:rFonts w:eastAsia="仿宋_GB2312" w:cs="Times New Roman"/>
          <w:kern w:val="2"/>
          <w:sz w:val="32"/>
          <w:szCs w:val="22"/>
        </w:rPr>
        <w:t>）《建设项目环境保护管理条例》（国务院令第</w:t>
      </w:r>
      <w:r>
        <w:rPr>
          <w:rFonts w:eastAsia="仿宋_GB2312" w:cs="Times New Roman"/>
          <w:kern w:val="2"/>
          <w:sz w:val="32"/>
          <w:szCs w:val="22"/>
        </w:rPr>
        <w:t>253</w:t>
      </w:r>
      <w:r>
        <w:rPr>
          <w:rFonts w:eastAsia="仿宋_GB2312" w:cs="Times New Roman"/>
          <w:kern w:val="2"/>
          <w:sz w:val="32"/>
          <w:szCs w:val="22"/>
        </w:rPr>
        <w:t>号）</w:t>
      </w:r>
      <w:r>
        <w:rPr>
          <w:rFonts w:eastAsia="仿宋_GB2312" w:cs="Times New Roman" w:hint="eastAsia"/>
          <w:kern w:val="2"/>
          <w:sz w:val="32"/>
          <w:szCs w:val="22"/>
        </w:rPr>
        <w:t>、《国务院关于修改〈建设项目环境保护管理条例〉的决定》</w:t>
      </w:r>
      <w:r>
        <w:rPr>
          <w:rFonts w:eastAsia="仿宋_GB2312" w:cs="Times New Roman"/>
          <w:kern w:val="2"/>
          <w:sz w:val="32"/>
          <w:szCs w:val="22"/>
        </w:rPr>
        <w:t>（国务院令第</w:t>
      </w:r>
      <w:r>
        <w:rPr>
          <w:rFonts w:eastAsia="仿宋_GB2312" w:cs="Times New Roman" w:hint="eastAsia"/>
          <w:kern w:val="2"/>
          <w:sz w:val="32"/>
          <w:szCs w:val="22"/>
        </w:rPr>
        <w:t>682</w:t>
      </w:r>
      <w:r>
        <w:rPr>
          <w:rFonts w:eastAsia="仿宋_GB2312" w:cs="Times New Roman"/>
          <w:kern w:val="2"/>
          <w:sz w:val="32"/>
          <w:szCs w:val="22"/>
        </w:rPr>
        <w:t>号）；</w:t>
      </w:r>
    </w:p>
    <w:p w14:paraId="4B8B0766"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4</w:t>
      </w:r>
      <w:r>
        <w:rPr>
          <w:rFonts w:eastAsia="仿宋_GB2312" w:cs="Times New Roman"/>
          <w:kern w:val="2"/>
          <w:sz w:val="32"/>
          <w:szCs w:val="22"/>
        </w:rPr>
        <w:t>）《国家发展改革委关于发挥价格杠杆作用促进光伏产业健康发展的通知》（</w:t>
      </w:r>
      <w:proofErr w:type="gramStart"/>
      <w:r>
        <w:rPr>
          <w:rFonts w:eastAsia="仿宋_GB2312" w:cs="Times New Roman" w:hint="eastAsia"/>
          <w:kern w:val="2"/>
          <w:sz w:val="32"/>
          <w:szCs w:val="22"/>
        </w:rPr>
        <w:t>发改价格</w:t>
      </w:r>
      <w:proofErr w:type="gramEnd"/>
      <w:r>
        <w:rPr>
          <w:rFonts w:eastAsia="仿宋_GB2312" w:cs="Times New Roman" w:hint="eastAsia"/>
          <w:kern w:val="2"/>
          <w:sz w:val="32"/>
          <w:szCs w:val="22"/>
        </w:rPr>
        <w:t>〔</w:t>
      </w:r>
      <w:r>
        <w:rPr>
          <w:rFonts w:eastAsia="仿宋_GB2312" w:cs="Times New Roman" w:hint="eastAsia"/>
          <w:kern w:val="2"/>
          <w:sz w:val="32"/>
          <w:szCs w:val="22"/>
        </w:rPr>
        <w:t>2013</w:t>
      </w:r>
      <w:r>
        <w:rPr>
          <w:rFonts w:eastAsia="仿宋_GB2312" w:cs="Times New Roman" w:hint="eastAsia"/>
          <w:kern w:val="2"/>
          <w:sz w:val="32"/>
          <w:szCs w:val="22"/>
        </w:rPr>
        <w:t>〕</w:t>
      </w:r>
      <w:r>
        <w:rPr>
          <w:rFonts w:eastAsia="仿宋_GB2312" w:cs="Times New Roman" w:hint="eastAsia"/>
          <w:kern w:val="2"/>
          <w:sz w:val="32"/>
          <w:szCs w:val="22"/>
        </w:rPr>
        <w:t>1638</w:t>
      </w:r>
      <w:r>
        <w:rPr>
          <w:rFonts w:eastAsia="仿宋_GB2312" w:cs="Times New Roman" w:hint="eastAsia"/>
          <w:kern w:val="2"/>
          <w:sz w:val="32"/>
          <w:szCs w:val="22"/>
        </w:rPr>
        <w:t>号</w:t>
      </w:r>
      <w:r>
        <w:rPr>
          <w:rFonts w:eastAsia="仿宋_GB2312" w:cs="Times New Roman"/>
          <w:kern w:val="2"/>
          <w:sz w:val="32"/>
          <w:szCs w:val="22"/>
        </w:rPr>
        <w:t>）；</w:t>
      </w:r>
    </w:p>
    <w:p w14:paraId="2FA7B311"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5</w:t>
      </w:r>
      <w:r>
        <w:rPr>
          <w:rFonts w:eastAsia="仿宋_GB2312" w:cs="Times New Roman"/>
          <w:kern w:val="2"/>
          <w:sz w:val="32"/>
          <w:szCs w:val="22"/>
        </w:rPr>
        <w:t>）《国家发展改革委关于调整可再生能源电价附加标准与环保电价有关事项的通知》（</w:t>
      </w:r>
      <w:proofErr w:type="gramStart"/>
      <w:r>
        <w:rPr>
          <w:rFonts w:eastAsia="仿宋_GB2312" w:cs="Times New Roman"/>
          <w:kern w:val="2"/>
          <w:sz w:val="32"/>
          <w:szCs w:val="22"/>
        </w:rPr>
        <w:t>发改价格</w:t>
      </w:r>
      <w:proofErr w:type="gramEnd"/>
      <w:r>
        <w:rPr>
          <w:rFonts w:eastAsia="仿宋_GB2312" w:cs="Times New Roman" w:hint="eastAsia"/>
          <w:kern w:val="2"/>
          <w:sz w:val="32"/>
          <w:szCs w:val="22"/>
        </w:rPr>
        <w:t>〔</w:t>
      </w:r>
      <w:r>
        <w:rPr>
          <w:rFonts w:eastAsia="仿宋_GB2312" w:cs="Times New Roman"/>
          <w:kern w:val="2"/>
          <w:sz w:val="32"/>
          <w:szCs w:val="22"/>
        </w:rPr>
        <w:t>2013</w:t>
      </w:r>
      <w:r>
        <w:rPr>
          <w:rFonts w:eastAsia="仿宋_GB2312" w:cs="Times New Roman" w:hint="eastAsia"/>
          <w:kern w:val="2"/>
          <w:sz w:val="32"/>
          <w:szCs w:val="22"/>
        </w:rPr>
        <w:t>〕</w:t>
      </w:r>
      <w:r>
        <w:rPr>
          <w:rFonts w:eastAsia="仿宋_GB2312" w:cs="Times New Roman"/>
          <w:kern w:val="2"/>
          <w:sz w:val="32"/>
          <w:szCs w:val="22"/>
        </w:rPr>
        <w:t>1651</w:t>
      </w:r>
      <w:r>
        <w:rPr>
          <w:rFonts w:eastAsia="仿宋_GB2312" w:cs="Times New Roman"/>
          <w:kern w:val="2"/>
          <w:sz w:val="32"/>
          <w:szCs w:val="22"/>
        </w:rPr>
        <w:t>号）；</w:t>
      </w:r>
    </w:p>
    <w:p w14:paraId="4F8D52F0"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6</w:t>
      </w:r>
      <w:r>
        <w:rPr>
          <w:rFonts w:eastAsia="仿宋_GB2312" w:cs="Times New Roman"/>
          <w:kern w:val="2"/>
          <w:sz w:val="32"/>
          <w:szCs w:val="22"/>
        </w:rPr>
        <w:t>）《国家能源局关于印发</w:t>
      </w:r>
      <w:r>
        <w:rPr>
          <w:rFonts w:eastAsia="仿宋_GB2312" w:cs="Times New Roman"/>
          <w:kern w:val="2"/>
          <w:sz w:val="32"/>
          <w:szCs w:val="22"/>
        </w:rPr>
        <w:t>&lt;</w:t>
      </w:r>
      <w:r>
        <w:rPr>
          <w:rFonts w:eastAsia="仿宋_GB2312" w:cs="Times New Roman"/>
          <w:kern w:val="2"/>
          <w:sz w:val="32"/>
          <w:szCs w:val="22"/>
        </w:rPr>
        <w:t>光伏电站项目管理暂行办法</w:t>
      </w:r>
      <w:r>
        <w:rPr>
          <w:rFonts w:eastAsia="仿宋_GB2312" w:cs="Times New Roman" w:hint="eastAsia"/>
          <w:kern w:val="2"/>
          <w:sz w:val="32"/>
          <w:szCs w:val="22"/>
        </w:rPr>
        <w:t>〉</w:t>
      </w:r>
      <w:r>
        <w:rPr>
          <w:rFonts w:eastAsia="仿宋_GB2312" w:cs="Times New Roman"/>
          <w:kern w:val="2"/>
          <w:sz w:val="32"/>
          <w:szCs w:val="22"/>
        </w:rPr>
        <w:t>的通知》（国能新能</w:t>
      </w:r>
      <w:r>
        <w:rPr>
          <w:rFonts w:eastAsia="仿宋_GB2312" w:cs="Times New Roman" w:hint="eastAsia"/>
          <w:kern w:val="2"/>
          <w:sz w:val="32"/>
          <w:szCs w:val="22"/>
        </w:rPr>
        <w:t>〔</w:t>
      </w:r>
      <w:r>
        <w:rPr>
          <w:rFonts w:eastAsia="仿宋_GB2312" w:cs="Times New Roman"/>
          <w:kern w:val="2"/>
          <w:sz w:val="32"/>
          <w:szCs w:val="22"/>
        </w:rPr>
        <w:t>2013</w:t>
      </w:r>
      <w:r>
        <w:rPr>
          <w:rFonts w:eastAsia="仿宋_GB2312" w:cs="Times New Roman" w:hint="eastAsia"/>
          <w:kern w:val="2"/>
          <w:sz w:val="32"/>
          <w:szCs w:val="22"/>
        </w:rPr>
        <w:t>〕</w:t>
      </w:r>
      <w:r>
        <w:rPr>
          <w:rFonts w:eastAsia="仿宋_GB2312" w:cs="Times New Roman"/>
          <w:kern w:val="2"/>
          <w:sz w:val="32"/>
          <w:szCs w:val="22"/>
        </w:rPr>
        <w:t>329</w:t>
      </w:r>
      <w:r>
        <w:rPr>
          <w:rFonts w:eastAsia="仿宋_GB2312" w:cs="Times New Roman"/>
          <w:kern w:val="2"/>
          <w:sz w:val="32"/>
          <w:szCs w:val="22"/>
        </w:rPr>
        <w:t>号）；</w:t>
      </w:r>
    </w:p>
    <w:p w14:paraId="7BB3B121"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7</w:t>
      </w:r>
      <w:r>
        <w:rPr>
          <w:rFonts w:eastAsia="仿宋_GB2312" w:cs="Times New Roman"/>
          <w:kern w:val="2"/>
          <w:sz w:val="32"/>
          <w:szCs w:val="22"/>
        </w:rPr>
        <w:t>）《国家能源局关于印发</w:t>
      </w:r>
      <w:r>
        <w:rPr>
          <w:rFonts w:eastAsia="仿宋_GB2312" w:cs="Times New Roman"/>
          <w:kern w:val="2"/>
          <w:sz w:val="32"/>
          <w:szCs w:val="22"/>
        </w:rPr>
        <w:t>&lt;</w:t>
      </w:r>
      <w:r>
        <w:rPr>
          <w:rFonts w:eastAsia="仿宋_GB2312" w:cs="Times New Roman"/>
          <w:kern w:val="2"/>
          <w:sz w:val="32"/>
          <w:szCs w:val="22"/>
        </w:rPr>
        <w:t>光伏发电运营监管暂行办法</w:t>
      </w:r>
      <w:r>
        <w:rPr>
          <w:rFonts w:eastAsia="仿宋_GB2312" w:cs="Times New Roman" w:hint="eastAsia"/>
          <w:kern w:val="2"/>
          <w:sz w:val="32"/>
          <w:szCs w:val="22"/>
        </w:rPr>
        <w:t>〉</w:t>
      </w:r>
      <w:r>
        <w:rPr>
          <w:rFonts w:eastAsia="仿宋_GB2312" w:cs="Times New Roman"/>
          <w:kern w:val="2"/>
          <w:sz w:val="32"/>
          <w:szCs w:val="22"/>
        </w:rPr>
        <w:t>的通知》（国能监管〔</w:t>
      </w:r>
      <w:r>
        <w:rPr>
          <w:rFonts w:eastAsia="仿宋_GB2312" w:cs="Times New Roman"/>
          <w:kern w:val="2"/>
          <w:sz w:val="32"/>
          <w:szCs w:val="22"/>
        </w:rPr>
        <w:t>2013</w:t>
      </w:r>
      <w:r>
        <w:rPr>
          <w:rFonts w:eastAsia="仿宋_GB2312" w:cs="Times New Roman"/>
          <w:kern w:val="2"/>
          <w:sz w:val="32"/>
          <w:szCs w:val="22"/>
        </w:rPr>
        <w:t>〕</w:t>
      </w:r>
      <w:r>
        <w:rPr>
          <w:rFonts w:eastAsia="仿宋_GB2312" w:cs="Times New Roman"/>
          <w:kern w:val="2"/>
          <w:sz w:val="32"/>
          <w:szCs w:val="22"/>
        </w:rPr>
        <w:t>459</w:t>
      </w:r>
      <w:r>
        <w:rPr>
          <w:rFonts w:eastAsia="仿宋_GB2312" w:cs="Times New Roman"/>
          <w:kern w:val="2"/>
          <w:sz w:val="32"/>
          <w:szCs w:val="22"/>
        </w:rPr>
        <w:t>号）；</w:t>
      </w:r>
    </w:p>
    <w:p w14:paraId="379F2711"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hint="eastAsia"/>
          <w:kern w:val="2"/>
          <w:sz w:val="32"/>
          <w:szCs w:val="22"/>
        </w:rPr>
        <w:t>8</w:t>
      </w:r>
      <w:r>
        <w:rPr>
          <w:rFonts w:eastAsia="仿宋_GB2312" w:cs="Times New Roman"/>
          <w:kern w:val="2"/>
          <w:sz w:val="32"/>
          <w:szCs w:val="22"/>
        </w:rPr>
        <w:t>）《国家能源局关于印发风电开发建设管理暂行办法的通知》（国能新能</w:t>
      </w:r>
      <w:r>
        <w:rPr>
          <w:rFonts w:eastAsia="仿宋_GB2312" w:cs="Times New Roman" w:hint="eastAsia"/>
          <w:kern w:val="2"/>
          <w:sz w:val="32"/>
          <w:szCs w:val="22"/>
        </w:rPr>
        <w:t>〔</w:t>
      </w:r>
      <w:r>
        <w:rPr>
          <w:rFonts w:eastAsia="仿宋_GB2312" w:cs="Times New Roman"/>
          <w:kern w:val="2"/>
          <w:sz w:val="32"/>
          <w:szCs w:val="22"/>
        </w:rPr>
        <w:t>2011</w:t>
      </w:r>
      <w:r>
        <w:rPr>
          <w:rFonts w:eastAsia="仿宋_GB2312" w:cs="Times New Roman" w:hint="eastAsia"/>
          <w:kern w:val="2"/>
          <w:sz w:val="32"/>
          <w:szCs w:val="22"/>
        </w:rPr>
        <w:t>〕</w:t>
      </w:r>
      <w:r>
        <w:rPr>
          <w:rFonts w:eastAsia="仿宋_GB2312" w:cs="Times New Roman"/>
          <w:kern w:val="2"/>
          <w:sz w:val="32"/>
          <w:szCs w:val="22"/>
        </w:rPr>
        <w:t>285</w:t>
      </w:r>
      <w:r>
        <w:rPr>
          <w:rFonts w:eastAsia="仿宋_GB2312" w:cs="Times New Roman"/>
          <w:kern w:val="2"/>
          <w:sz w:val="32"/>
          <w:szCs w:val="22"/>
        </w:rPr>
        <w:t>号）；</w:t>
      </w:r>
    </w:p>
    <w:p w14:paraId="6FAA7630"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lastRenderedPageBreak/>
        <w:t>（</w:t>
      </w:r>
      <w:r>
        <w:rPr>
          <w:rFonts w:eastAsia="仿宋_GB2312" w:cs="Times New Roman" w:hint="eastAsia"/>
          <w:kern w:val="2"/>
          <w:sz w:val="32"/>
          <w:szCs w:val="22"/>
        </w:rPr>
        <w:t>9</w:t>
      </w:r>
      <w:r>
        <w:rPr>
          <w:rFonts w:eastAsia="仿宋_GB2312" w:cs="Times New Roman"/>
          <w:kern w:val="2"/>
          <w:sz w:val="32"/>
          <w:szCs w:val="22"/>
        </w:rPr>
        <w:t>）《国家能源局关于印发分散式接入风电项目开发建设指导意见的通知》（国能新能</w:t>
      </w:r>
      <w:r>
        <w:rPr>
          <w:rFonts w:eastAsia="仿宋_GB2312" w:cs="Times New Roman" w:hint="eastAsia"/>
          <w:kern w:val="2"/>
          <w:sz w:val="32"/>
          <w:szCs w:val="22"/>
        </w:rPr>
        <w:t>〔</w:t>
      </w:r>
      <w:r>
        <w:rPr>
          <w:rFonts w:eastAsia="仿宋_GB2312" w:cs="Times New Roman"/>
          <w:kern w:val="2"/>
          <w:sz w:val="32"/>
          <w:szCs w:val="22"/>
        </w:rPr>
        <w:t>2011</w:t>
      </w:r>
      <w:r>
        <w:rPr>
          <w:rFonts w:eastAsia="仿宋_GB2312" w:cs="Times New Roman" w:hint="eastAsia"/>
          <w:kern w:val="2"/>
          <w:sz w:val="32"/>
          <w:szCs w:val="22"/>
        </w:rPr>
        <w:t>〕</w:t>
      </w:r>
      <w:r>
        <w:rPr>
          <w:rFonts w:eastAsia="仿宋_GB2312" w:cs="Times New Roman"/>
          <w:kern w:val="2"/>
          <w:sz w:val="32"/>
          <w:szCs w:val="22"/>
        </w:rPr>
        <w:t>374</w:t>
      </w:r>
      <w:r>
        <w:rPr>
          <w:rFonts w:eastAsia="仿宋_GB2312" w:cs="Times New Roman"/>
          <w:kern w:val="2"/>
          <w:sz w:val="32"/>
          <w:szCs w:val="22"/>
        </w:rPr>
        <w:t>号）；</w:t>
      </w:r>
    </w:p>
    <w:p w14:paraId="7985066C"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1</w:t>
      </w:r>
      <w:r>
        <w:rPr>
          <w:rFonts w:eastAsia="仿宋_GB2312" w:cs="Times New Roman" w:hint="eastAsia"/>
          <w:kern w:val="2"/>
          <w:sz w:val="32"/>
          <w:szCs w:val="22"/>
        </w:rPr>
        <w:t>0</w:t>
      </w:r>
      <w:r>
        <w:rPr>
          <w:rFonts w:eastAsia="仿宋_GB2312" w:cs="Times New Roman"/>
          <w:kern w:val="2"/>
          <w:sz w:val="32"/>
          <w:szCs w:val="22"/>
        </w:rPr>
        <w:t>）《关于印发</w:t>
      </w:r>
      <w:r>
        <w:rPr>
          <w:rFonts w:eastAsia="仿宋_GB2312" w:cs="Times New Roman"/>
          <w:kern w:val="2"/>
          <w:sz w:val="32"/>
          <w:szCs w:val="22"/>
        </w:rPr>
        <w:t>&lt;</w:t>
      </w:r>
      <w:r>
        <w:rPr>
          <w:rFonts w:eastAsia="仿宋_GB2312" w:cs="Times New Roman"/>
          <w:kern w:val="2"/>
          <w:sz w:val="32"/>
          <w:szCs w:val="22"/>
        </w:rPr>
        <w:t>风电场工程建设用地和环境保护管理暂行办法</w:t>
      </w:r>
      <w:r>
        <w:rPr>
          <w:rFonts w:eastAsia="仿宋_GB2312" w:cs="Times New Roman" w:hint="eastAsia"/>
          <w:kern w:val="2"/>
          <w:sz w:val="32"/>
          <w:szCs w:val="22"/>
        </w:rPr>
        <w:t>〉</w:t>
      </w:r>
      <w:r>
        <w:rPr>
          <w:rFonts w:eastAsia="仿宋_GB2312" w:cs="Times New Roman"/>
          <w:kern w:val="2"/>
          <w:sz w:val="32"/>
          <w:szCs w:val="22"/>
        </w:rPr>
        <w:t>的通知》（</w:t>
      </w:r>
      <w:proofErr w:type="gramStart"/>
      <w:r>
        <w:rPr>
          <w:rFonts w:eastAsia="仿宋_GB2312" w:cs="Times New Roman"/>
          <w:kern w:val="2"/>
          <w:sz w:val="32"/>
          <w:szCs w:val="22"/>
        </w:rPr>
        <w:t>发改能源</w:t>
      </w:r>
      <w:proofErr w:type="gramEnd"/>
      <w:r>
        <w:rPr>
          <w:rFonts w:eastAsia="仿宋_GB2312" w:cs="Times New Roman" w:hint="eastAsia"/>
          <w:kern w:val="2"/>
          <w:sz w:val="32"/>
          <w:szCs w:val="22"/>
        </w:rPr>
        <w:t>〔</w:t>
      </w:r>
      <w:r>
        <w:rPr>
          <w:rFonts w:eastAsia="仿宋_GB2312" w:cs="Times New Roman"/>
          <w:kern w:val="2"/>
          <w:sz w:val="32"/>
          <w:szCs w:val="22"/>
        </w:rPr>
        <w:t>2005</w:t>
      </w:r>
      <w:r>
        <w:rPr>
          <w:rFonts w:eastAsia="仿宋_GB2312" w:cs="Times New Roman" w:hint="eastAsia"/>
          <w:kern w:val="2"/>
          <w:sz w:val="32"/>
          <w:szCs w:val="22"/>
        </w:rPr>
        <w:t>〕</w:t>
      </w:r>
      <w:r>
        <w:rPr>
          <w:rFonts w:eastAsia="仿宋_GB2312" w:cs="Times New Roman"/>
          <w:kern w:val="2"/>
          <w:sz w:val="32"/>
          <w:szCs w:val="22"/>
        </w:rPr>
        <w:t>1511</w:t>
      </w:r>
      <w:r>
        <w:rPr>
          <w:rFonts w:eastAsia="仿宋_GB2312" w:cs="Times New Roman"/>
          <w:kern w:val="2"/>
          <w:sz w:val="32"/>
          <w:szCs w:val="22"/>
        </w:rPr>
        <w:t>号）；</w:t>
      </w:r>
    </w:p>
    <w:p w14:paraId="7F544827"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hint="eastAsia"/>
          <w:kern w:val="2"/>
          <w:sz w:val="32"/>
          <w:szCs w:val="22"/>
        </w:rPr>
        <w:t>11</w:t>
      </w:r>
      <w:r>
        <w:rPr>
          <w:rFonts w:eastAsia="仿宋_GB2312" w:cs="Times New Roman"/>
          <w:kern w:val="2"/>
          <w:sz w:val="32"/>
          <w:szCs w:val="22"/>
        </w:rPr>
        <w:t>）《关于批准发布</w:t>
      </w:r>
      <w:r>
        <w:rPr>
          <w:rFonts w:eastAsia="仿宋_GB2312" w:cs="Times New Roman"/>
          <w:kern w:val="2"/>
          <w:sz w:val="32"/>
          <w:szCs w:val="22"/>
        </w:rPr>
        <w:t>&lt;</w:t>
      </w:r>
      <w:r>
        <w:rPr>
          <w:rFonts w:eastAsia="仿宋_GB2312" w:cs="Times New Roman"/>
          <w:kern w:val="2"/>
          <w:sz w:val="32"/>
          <w:szCs w:val="22"/>
        </w:rPr>
        <w:t>电力工程项目建设用地指标（风电场）</w:t>
      </w:r>
      <w:r>
        <w:rPr>
          <w:rFonts w:eastAsia="仿宋_GB2312" w:cs="Times New Roman" w:hint="eastAsia"/>
          <w:kern w:val="2"/>
          <w:sz w:val="32"/>
          <w:szCs w:val="22"/>
        </w:rPr>
        <w:t>〉</w:t>
      </w:r>
      <w:r>
        <w:rPr>
          <w:rFonts w:eastAsia="仿宋_GB2312" w:cs="Times New Roman"/>
          <w:kern w:val="2"/>
          <w:sz w:val="32"/>
          <w:szCs w:val="22"/>
        </w:rPr>
        <w:t>的通知》（建标</w:t>
      </w:r>
      <w:r>
        <w:rPr>
          <w:rFonts w:eastAsia="仿宋_GB2312" w:cs="Times New Roman" w:hint="eastAsia"/>
          <w:kern w:val="2"/>
          <w:sz w:val="32"/>
          <w:szCs w:val="22"/>
        </w:rPr>
        <w:t>〔</w:t>
      </w:r>
      <w:r>
        <w:rPr>
          <w:rFonts w:eastAsia="仿宋_GB2312" w:cs="Times New Roman"/>
          <w:kern w:val="2"/>
          <w:sz w:val="32"/>
          <w:szCs w:val="22"/>
        </w:rPr>
        <w:t>2011</w:t>
      </w:r>
      <w:r>
        <w:rPr>
          <w:rFonts w:eastAsia="仿宋_GB2312" w:cs="Times New Roman" w:hint="eastAsia"/>
          <w:kern w:val="2"/>
          <w:sz w:val="32"/>
          <w:szCs w:val="22"/>
        </w:rPr>
        <w:t>〕</w:t>
      </w:r>
      <w:r>
        <w:rPr>
          <w:rFonts w:eastAsia="仿宋_GB2312" w:cs="Times New Roman"/>
          <w:kern w:val="2"/>
          <w:sz w:val="32"/>
          <w:szCs w:val="22"/>
        </w:rPr>
        <w:t>209</w:t>
      </w:r>
      <w:r>
        <w:rPr>
          <w:rFonts w:eastAsia="仿宋_GB2312" w:cs="Times New Roman"/>
          <w:kern w:val="2"/>
          <w:sz w:val="32"/>
          <w:szCs w:val="22"/>
        </w:rPr>
        <w:t>号）；</w:t>
      </w:r>
    </w:p>
    <w:p w14:paraId="5F610829"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1</w:t>
      </w:r>
      <w:r>
        <w:rPr>
          <w:rFonts w:eastAsia="仿宋_GB2312" w:cs="Times New Roman" w:hint="eastAsia"/>
          <w:kern w:val="2"/>
          <w:sz w:val="32"/>
          <w:szCs w:val="22"/>
        </w:rPr>
        <w:t>2</w:t>
      </w:r>
      <w:r>
        <w:rPr>
          <w:rFonts w:eastAsia="仿宋_GB2312" w:cs="Times New Roman"/>
          <w:kern w:val="2"/>
          <w:sz w:val="32"/>
          <w:szCs w:val="22"/>
        </w:rPr>
        <w:t>）《国家发展改革委关于完善陆上风电光伏发电上网标杆电价政</w:t>
      </w:r>
      <w:r>
        <w:rPr>
          <w:rFonts w:eastAsia="仿宋_GB2312" w:cs="Times New Roman"/>
          <w:kern w:val="2"/>
          <w:sz w:val="32"/>
          <w:szCs w:val="22"/>
        </w:rPr>
        <w:t>策的通知》（</w:t>
      </w:r>
      <w:proofErr w:type="gramStart"/>
      <w:r>
        <w:rPr>
          <w:rFonts w:eastAsia="仿宋_GB2312" w:cs="Times New Roman"/>
          <w:kern w:val="2"/>
          <w:sz w:val="32"/>
          <w:szCs w:val="22"/>
        </w:rPr>
        <w:t>发改价格</w:t>
      </w:r>
      <w:proofErr w:type="gramEnd"/>
      <w:r>
        <w:rPr>
          <w:rFonts w:eastAsia="仿宋_GB2312" w:cs="Times New Roman" w:hint="eastAsia"/>
          <w:kern w:val="2"/>
          <w:sz w:val="32"/>
          <w:szCs w:val="22"/>
        </w:rPr>
        <w:t>〔</w:t>
      </w:r>
      <w:r>
        <w:rPr>
          <w:rFonts w:eastAsia="仿宋_GB2312" w:cs="Times New Roman"/>
          <w:kern w:val="2"/>
          <w:sz w:val="32"/>
          <w:szCs w:val="22"/>
        </w:rPr>
        <w:t>2015</w:t>
      </w:r>
      <w:r>
        <w:rPr>
          <w:rFonts w:eastAsia="仿宋_GB2312" w:cs="Times New Roman" w:hint="eastAsia"/>
          <w:kern w:val="2"/>
          <w:sz w:val="32"/>
          <w:szCs w:val="22"/>
        </w:rPr>
        <w:t>〕</w:t>
      </w:r>
      <w:r>
        <w:rPr>
          <w:rFonts w:eastAsia="仿宋_GB2312" w:cs="Times New Roman"/>
          <w:kern w:val="2"/>
          <w:sz w:val="32"/>
          <w:szCs w:val="22"/>
        </w:rPr>
        <w:t>3044</w:t>
      </w:r>
      <w:r>
        <w:rPr>
          <w:rFonts w:eastAsia="仿宋_GB2312" w:cs="Times New Roman" w:hint="eastAsia"/>
          <w:kern w:val="2"/>
          <w:sz w:val="32"/>
          <w:szCs w:val="22"/>
        </w:rPr>
        <w:t>号</w:t>
      </w:r>
      <w:r>
        <w:rPr>
          <w:rFonts w:eastAsia="仿宋_GB2312" w:cs="Times New Roman"/>
          <w:kern w:val="2"/>
          <w:sz w:val="32"/>
          <w:szCs w:val="22"/>
        </w:rPr>
        <w:t>）；</w:t>
      </w:r>
    </w:p>
    <w:p w14:paraId="288300CF"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1</w:t>
      </w:r>
      <w:r>
        <w:rPr>
          <w:rFonts w:eastAsia="仿宋_GB2312" w:cs="Times New Roman" w:hint="eastAsia"/>
          <w:kern w:val="2"/>
          <w:sz w:val="32"/>
          <w:szCs w:val="22"/>
        </w:rPr>
        <w:t>3</w:t>
      </w:r>
      <w:r>
        <w:rPr>
          <w:rFonts w:eastAsia="仿宋_GB2312" w:cs="Times New Roman"/>
          <w:kern w:val="2"/>
          <w:sz w:val="32"/>
          <w:szCs w:val="22"/>
        </w:rPr>
        <w:t>）《建设项目使用林地审核审批管理办法》（国家林业局令第</w:t>
      </w:r>
      <w:r>
        <w:rPr>
          <w:rFonts w:eastAsia="仿宋_GB2312" w:cs="Times New Roman"/>
          <w:kern w:val="2"/>
          <w:sz w:val="32"/>
          <w:szCs w:val="22"/>
        </w:rPr>
        <w:t>35</w:t>
      </w:r>
      <w:r>
        <w:rPr>
          <w:rFonts w:eastAsia="仿宋_GB2312" w:cs="Times New Roman"/>
          <w:kern w:val="2"/>
          <w:sz w:val="32"/>
          <w:szCs w:val="22"/>
        </w:rPr>
        <w:t>号</w:t>
      </w:r>
      <w:r>
        <w:rPr>
          <w:rFonts w:eastAsia="仿宋_GB2312" w:cs="Times New Roman" w:hint="eastAsia"/>
          <w:kern w:val="2"/>
          <w:sz w:val="32"/>
          <w:szCs w:val="22"/>
        </w:rPr>
        <w:t>，国家林业局令第</w:t>
      </w:r>
      <w:r>
        <w:rPr>
          <w:rFonts w:eastAsia="仿宋_GB2312" w:cs="Times New Roman" w:hint="eastAsia"/>
          <w:kern w:val="2"/>
          <w:sz w:val="32"/>
          <w:szCs w:val="22"/>
        </w:rPr>
        <w:t>42</w:t>
      </w:r>
      <w:r>
        <w:rPr>
          <w:rFonts w:eastAsia="仿宋_GB2312" w:cs="Times New Roman" w:hint="eastAsia"/>
          <w:kern w:val="2"/>
          <w:sz w:val="32"/>
          <w:szCs w:val="22"/>
        </w:rPr>
        <w:t>号修正</w:t>
      </w:r>
      <w:r>
        <w:rPr>
          <w:rFonts w:eastAsia="仿宋_GB2312" w:cs="Times New Roman"/>
          <w:kern w:val="2"/>
          <w:sz w:val="32"/>
          <w:szCs w:val="22"/>
        </w:rPr>
        <w:t>）；</w:t>
      </w:r>
    </w:p>
    <w:p w14:paraId="44C2DEF7"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kern w:val="2"/>
          <w:sz w:val="32"/>
          <w:szCs w:val="22"/>
        </w:rPr>
        <w:t>（</w:t>
      </w:r>
      <w:r>
        <w:rPr>
          <w:rFonts w:eastAsia="仿宋_GB2312" w:cs="Times New Roman"/>
          <w:kern w:val="2"/>
          <w:sz w:val="32"/>
          <w:szCs w:val="22"/>
        </w:rPr>
        <w:t>1</w:t>
      </w:r>
      <w:r>
        <w:rPr>
          <w:rFonts w:eastAsia="仿宋_GB2312" w:cs="Times New Roman" w:hint="eastAsia"/>
          <w:kern w:val="2"/>
          <w:sz w:val="32"/>
          <w:szCs w:val="22"/>
        </w:rPr>
        <w:t>4</w:t>
      </w:r>
      <w:r>
        <w:rPr>
          <w:rFonts w:eastAsia="仿宋_GB2312" w:cs="Times New Roman"/>
          <w:kern w:val="2"/>
          <w:sz w:val="32"/>
          <w:szCs w:val="22"/>
        </w:rPr>
        <w:t>）《电网调度管理条例》（国务院令第</w:t>
      </w:r>
      <w:r>
        <w:rPr>
          <w:rFonts w:eastAsia="仿宋_GB2312" w:cs="Times New Roman"/>
          <w:kern w:val="2"/>
          <w:sz w:val="32"/>
          <w:szCs w:val="22"/>
        </w:rPr>
        <w:t>115</w:t>
      </w:r>
      <w:r>
        <w:rPr>
          <w:rFonts w:eastAsia="仿宋_GB2312" w:cs="Times New Roman"/>
          <w:kern w:val="2"/>
          <w:sz w:val="32"/>
          <w:szCs w:val="22"/>
        </w:rPr>
        <w:t>号）</w:t>
      </w:r>
      <w:r>
        <w:rPr>
          <w:rFonts w:eastAsia="仿宋_GB2312" w:cs="Times New Roman" w:hint="eastAsia"/>
          <w:kern w:val="2"/>
          <w:sz w:val="32"/>
          <w:szCs w:val="22"/>
        </w:rPr>
        <w:t>；</w:t>
      </w:r>
    </w:p>
    <w:p w14:paraId="02F07470"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hint="eastAsia"/>
          <w:kern w:val="2"/>
          <w:sz w:val="32"/>
          <w:szCs w:val="22"/>
        </w:rPr>
        <w:t>（</w:t>
      </w:r>
      <w:r>
        <w:rPr>
          <w:rFonts w:eastAsia="仿宋_GB2312" w:cs="Times New Roman" w:hint="eastAsia"/>
          <w:kern w:val="2"/>
          <w:sz w:val="32"/>
          <w:szCs w:val="22"/>
        </w:rPr>
        <w:t>15</w:t>
      </w:r>
      <w:r>
        <w:rPr>
          <w:rFonts w:eastAsia="仿宋_GB2312" w:cs="Times New Roman" w:hint="eastAsia"/>
          <w:kern w:val="2"/>
          <w:sz w:val="32"/>
          <w:szCs w:val="22"/>
        </w:rPr>
        <w:t>）《国务院关于促进光伏产业健康发展的若干意见》（国发〔</w:t>
      </w:r>
      <w:r>
        <w:rPr>
          <w:rFonts w:eastAsia="仿宋_GB2312" w:cs="Times New Roman" w:hint="eastAsia"/>
          <w:kern w:val="2"/>
          <w:sz w:val="32"/>
          <w:szCs w:val="22"/>
        </w:rPr>
        <w:t>2013</w:t>
      </w:r>
      <w:r>
        <w:rPr>
          <w:rFonts w:eastAsia="仿宋_GB2312" w:cs="Times New Roman" w:hint="eastAsia"/>
          <w:kern w:val="2"/>
          <w:sz w:val="32"/>
          <w:szCs w:val="22"/>
        </w:rPr>
        <w:t>〕</w:t>
      </w:r>
      <w:r>
        <w:rPr>
          <w:rFonts w:eastAsia="仿宋_GB2312" w:cs="Times New Roman" w:hint="eastAsia"/>
          <w:kern w:val="2"/>
          <w:sz w:val="32"/>
          <w:szCs w:val="22"/>
        </w:rPr>
        <w:t>24</w:t>
      </w:r>
      <w:r>
        <w:rPr>
          <w:rFonts w:eastAsia="仿宋_GB2312" w:cs="Times New Roman" w:hint="eastAsia"/>
          <w:kern w:val="2"/>
          <w:sz w:val="32"/>
          <w:szCs w:val="22"/>
        </w:rPr>
        <w:t>号）；</w:t>
      </w:r>
    </w:p>
    <w:p w14:paraId="5DAFA3D5"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hint="eastAsia"/>
          <w:kern w:val="2"/>
          <w:sz w:val="32"/>
          <w:szCs w:val="22"/>
        </w:rPr>
        <w:t>（</w:t>
      </w:r>
      <w:r>
        <w:rPr>
          <w:rFonts w:eastAsia="仿宋_GB2312" w:cs="Times New Roman" w:hint="eastAsia"/>
          <w:kern w:val="2"/>
          <w:sz w:val="32"/>
          <w:szCs w:val="22"/>
        </w:rPr>
        <w:t>16</w:t>
      </w:r>
      <w:r>
        <w:rPr>
          <w:rFonts w:eastAsia="仿宋_GB2312" w:cs="Times New Roman" w:hint="eastAsia"/>
          <w:kern w:val="2"/>
          <w:sz w:val="32"/>
          <w:szCs w:val="22"/>
        </w:rPr>
        <w:t>）《“十四五”特殊类型地区振兴发展规划》（</w:t>
      </w:r>
      <w:proofErr w:type="gramStart"/>
      <w:r>
        <w:rPr>
          <w:rFonts w:eastAsia="仿宋_GB2312" w:cs="Times New Roman" w:hint="eastAsia"/>
          <w:kern w:val="2"/>
          <w:sz w:val="32"/>
          <w:szCs w:val="22"/>
        </w:rPr>
        <w:t>国函〔</w:t>
      </w:r>
      <w:r>
        <w:rPr>
          <w:rFonts w:eastAsia="仿宋_GB2312" w:cs="Times New Roman" w:hint="eastAsia"/>
          <w:kern w:val="2"/>
          <w:sz w:val="32"/>
          <w:szCs w:val="22"/>
        </w:rPr>
        <w:t>2021</w:t>
      </w:r>
      <w:r>
        <w:rPr>
          <w:rFonts w:eastAsia="仿宋_GB2312" w:cs="Times New Roman" w:hint="eastAsia"/>
          <w:kern w:val="2"/>
          <w:sz w:val="32"/>
          <w:szCs w:val="22"/>
        </w:rPr>
        <w:t>〕</w:t>
      </w:r>
      <w:proofErr w:type="gramEnd"/>
      <w:r>
        <w:rPr>
          <w:rFonts w:eastAsia="仿宋_GB2312" w:cs="Times New Roman" w:hint="eastAsia"/>
          <w:kern w:val="2"/>
          <w:sz w:val="32"/>
          <w:szCs w:val="22"/>
        </w:rPr>
        <w:t>98</w:t>
      </w:r>
      <w:r>
        <w:rPr>
          <w:rFonts w:eastAsia="仿宋_GB2312" w:cs="Times New Roman" w:hint="eastAsia"/>
          <w:kern w:val="2"/>
          <w:sz w:val="32"/>
          <w:szCs w:val="22"/>
        </w:rPr>
        <w:t>号）；</w:t>
      </w:r>
    </w:p>
    <w:p w14:paraId="362D1699"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hint="eastAsia"/>
          <w:kern w:val="2"/>
          <w:sz w:val="32"/>
          <w:szCs w:val="22"/>
        </w:rPr>
        <w:t>（</w:t>
      </w:r>
      <w:r>
        <w:rPr>
          <w:rFonts w:eastAsia="仿宋_GB2312" w:cs="Times New Roman"/>
          <w:kern w:val="2"/>
          <w:sz w:val="32"/>
          <w:szCs w:val="22"/>
        </w:rPr>
        <w:t>1</w:t>
      </w:r>
      <w:r>
        <w:rPr>
          <w:rFonts w:eastAsia="仿宋_GB2312" w:cs="Times New Roman" w:hint="eastAsia"/>
          <w:kern w:val="2"/>
          <w:sz w:val="32"/>
          <w:szCs w:val="22"/>
        </w:rPr>
        <w:t>7</w:t>
      </w:r>
      <w:r>
        <w:rPr>
          <w:rFonts w:eastAsia="仿宋_GB2312" w:cs="Times New Roman" w:hint="eastAsia"/>
          <w:kern w:val="2"/>
          <w:sz w:val="32"/>
          <w:szCs w:val="22"/>
        </w:rPr>
        <w:t>）</w:t>
      </w:r>
      <w:proofErr w:type="gramStart"/>
      <w:r>
        <w:rPr>
          <w:rFonts w:eastAsia="仿宋_GB2312" w:cs="Times New Roman" w:hint="eastAsia"/>
          <w:kern w:val="2"/>
          <w:sz w:val="32"/>
          <w:szCs w:val="22"/>
        </w:rPr>
        <w:t>国家发改委</w:t>
      </w:r>
      <w:proofErr w:type="gramEnd"/>
      <w:r>
        <w:rPr>
          <w:rFonts w:eastAsia="仿宋_GB2312" w:cs="Times New Roman" w:hint="eastAsia"/>
          <w:kern w:val="2"/>
          <w:sz w:val="32"/>
          <w:szCs w:val="22"/>
        </w:rPr>
        <w:t>《关于印发促进工业经济平稳增长的若干政策的通知》（发</w:t>
      </w:r>
      <w:proofErr w:type="gramStart"/>
      <w:r>
        <w:rPr>
          <w:rFonts w:eastAsia="仿宋_GB2312" w:cs="Times New Roman" w:hint="eastAsia"/>
          <w:kern w:val="2"/>
          <w:sz w:val="32"/>
          <w:szCs w:val="22"/>
        </w:rPr>
        <w:t>改产业</w:t>
      </w:r>
      <w:proofErr w:type="gramEnd"/>
      <w:r>
        <w:rPr>
          <w:rFonts w:eastAsia="仿宋_GB2312" w:cs="Times New Roman" w:hint="eastAsia"/>
          <w:kern w:val="2"/>
          <w:sz w:val="32"/>
          <w:szCs w:val="22"/>
        </w:rPr>
        <w:t>〔</w:t>
      </w:r>
      <w:r>
        <w:rPr>
          <w:rFonts w:eastAsia="仿宋_GB2312" w:cs="Times New Roman" w:hint="eastAsia"/>
          <w:kern w:val="2"/>
          <w:sz w:val="32"/>
          <w:szCs w:val="22"/>
        </w:rPr>
        <w:t>2022</w:t>
      </w:r>
      <w:r>
        <w:rPr>
          <w:rFonts w:eastAsia="仿宋_GB2312" w:cs="Times New Roman" w:hint="eastAsia"/>
          <w:kern w:val="2"/>
          <w:sz w:val="32"/>
          <w:szCs w:val="22"/>
        </w:rPr>
        <w:t>〕</w:t>
      </w:r>
      <w:r>
        <w:rPr>
          <w:rFonts w:eastAsia="仿宋_GB2312" w:cs="Times New Roman" w:hint="eastAsia"/>
          <w:kern w:val="2"/>
          <w:sz w:val="32"/>
          <w:szCs w:val="22"/>
        </w:rPr>
        <w:t>273</w:t>
      </w:r>
      <w:r>
        <w:rPr>
          <w:rFonts w:eastAsia="仿宋_GB2312" w:cs="Times New Roman" w:hint="eastAsia"/>
          <w:kern w:val="2"/>
          <w:sz w:val="32"/>
          <w:szCs w:val="22"/>
        </w:rPr>
        <w:t>号）；</w:t>
      </w:r>
    </w:p>
    <w:p w14:paraId="7AC8AB7E"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hint="eastAsia"/>
          <w:kern w:val="2"/>
          <w:sz w:val="32"/>
          <w:szCs w:val="22"/>
        </w:rPr>
        <w:t>（</w:t>
      </w:r>
      <w:r>
        <w:rPr>
          <w:rFonts w:eastAsia="仿宋_GB2312" w:cs="Times New Roman" w:hint="eastAsia"/>
          <w:kern w:val="2"/>
          <w:sz w:val="32"/>
          <w:szCs w:val="22"/>
        </w:rPr>
        <w:t>18</w:t>
      </w:r>
      <w:r>
        <w:rPr>
          <w:rFonts w:eastAsia="仿宋_GB2312" w:cs="Times New Roman" w:hint="eastAsia"/>
          <w:kern w:val="2"/>
          <w:sz w:val="32"/>
          <w:szCs w:val="22"/>
        </w:rPr>
        <w:t>）《自然资源部办公厅</w:t>
      </w:r>
      <w:r>
        <w:rPr>
          <w:rFonts w:eastAsia="仿宋_GB2312" w:cs="Times New Roman" w:hint="eastAsia"/>
          <w:kern w:val="2"/>
          <w:sz w:val="32"/>
          <w:szCs w:val="22"/>
        </w:rPr>
        <w:t xml:space="preserve"> </w:t>
      </w:r>
      <w:r>
        <w:rPr>
          <w:rFonts w:eastAsia="仿宋_GB2312" w:cs="Times New Roman" w:hint="eastAsia"/>
          <w:kern w:val="2"/>
          <w:sz w:val="32"/>
          <w:szCs w:val="22"/>
        </w:rPr>
        <w:t>国家林业和草原局办公室</w:t>
      </w:r>
      <w:r>
        <w:rPr>
          <w:rFonts w:eastAsia="仿宋_GB2312" w:cs="Times New Roman" w:hint="eastAsia"/>
          <w:kern w:val="2"/>
          <w:sz w:val="32"/>
          <w:szCs w:val="22"/>
        </w:rPr>
        <w:t xml:space="preserve"> </w:t>
      </w:r>
      <w:r>
        <w:rPr>
          <w:rFonts w:eastAsia="仿宋_GB2312" w:cs="Times New Roman" w:hint="eastAsia"/>
          <w:kern w:val="2"/>
          <w:sz w:val="32"/>
          <w:szCs w:val="22"/>
        </w:rPr>
        <w:t>国家能源局综合司</w:t>
      </w:r>
      <w:r>
        <w:rPr>
          <w:rFonts w:eastAsia="仿宋_GB2312" w:cs="Times New Roman" w:hint="eastAsia"/>
          <w:kern w:val="2"/>
          <w:sz w:val="32"/>
          <w:szCs w:val="22"/>
        </w:rPr>
        <w:t xml:space="preserve"> </w:t>
      </w:r>
      <w:r>
        <w:rPr>
          <w:rFonts w:eastAsia="仿宋_GB2312" w:cs="Times New Roman" w:hint="eastAsia"/>
          <w:kern w:val="2"/>
          <w:sz w:val="32"/>
          <w:szCs w:val="22"/>
        </w:rPr>
        <w:t>关于支持光伏发电产业发展规范用地管理有关工作的通知》（自然资办发〔</w:t>
      </w:r>
      <w:r>
        <w:rPr>
          <w:rFonts w:eastAsia="仿宋_GB2312" w:cs="Times New Roman" w:hint="eastAsia"/>
          <w:kern w:val="2"/>
          <w:sz w:val="32"/>
          <w:szCs w:val="22"/>
        </w:rPr>
        <w:t>2023</w:t>
      </w:r>
      <w:r>
        <w:rPr>
          <w:rFonts w:eastAsia="仿宋_GB2312" w:cs="Times New Roman" w:hint="eastAsia"/>
          <w:kern w:val="2"/>
          <w:sz w:val="32"/>
          <w:szCs w:val="22"/>
        </w:rPr>
        <w:t>〕</w:t>
      </w:r>
      <w:r>
        <w:rPr>
          <w:rFonts w:eastAsia="仿宋_GB2312" w:cs="Times New Roman" w:hint="eastAsia"/>
          <w:kern w:val="2"/>
          <w:sz w:val="32"/>
          <w:szCs w:val="22"/>
        </w:rPr>
        <w:t>12</w:t>
      </w:r>
      <w:r>
        <w:rPr>
          <w:rFonts w:eastAsia="仿宋_GB2312" w:cs="Times New Roman" w:hint="eastAsia"/>
          <w:kern w:val="2"/>
          <w:sz w:val="32"/>
          <w:szCs w:val="22"/>
        </w:rPr>
        <w:t>号）；</w:t>
      </w:r>
    </w:p>
    <w:p w14:paraId="7F67FEA6" w14:textId="77777777" w:rsidR="00A739F2" w:rsidRDefault="00597D48">
      <w:pPr>
        <w:pStyle w:val="a3"/>
        <w:widowControl/>
        <w:spacing w:line="360" w:lineRule="auto"/>
        <w:ind w:firstLineChars="200" w:firstLine="640"/>
        <w:rPr>
          <w:rFonts w:eastAsia="仿宋_GB2312" w:cs="Times New Roman"/>
          <w:kern w:val="2"/>
          <w:sz w:val="32"/>
          <w:szCs w:val="22"/>
        </w:rPr>
      </w:pPr>
      <w:r>
        <w:rPr>
          <w:rFonts w:eastAsia="仿宋_GB2312" w:cs="Times New Roman" w:hint="eastAsia"/>
          <w:kern w:val="2"/>
          <w:sz w:val="32"/>
          <w:szCs w:val="22"/>
        </w:rPr>
        <w:lastRenderedPageBreak/>
        <w:t>（</w:t>
      </w:r>
      <w:r>
        <w:rPr>
          <w:rFonts w:eastAsia="仿宋_GB2312" w:cs="Times New Roman" w:hint="eastAsia"/>
          <w:kern w:val="2"/>
          <w:sz w:val="32"/>
          <w:szCs w:val="22"/>
        </w:rPr>
        <w:t>19</w:t>
      </w:r>
      <w:r>
        <w:rPr>
          <w:rFonts w:eastAsia="仿宋_GB2312" w:cs="Times New Roman" w:hint="eastAsia"/>
          <w:kern w:val="2"/>
          <w:sz w:val="32"/>
          <w:szCs w:val="22"/>
        </w:rPr>
        <w:t>）《国家能源局综合司</w:t>
      </w:r>
      <w:r>
        <w:rPr>
          <w:rFonts w:eastAsia="仿宋_GB2312" w:cs="Times New Roman" w:hint="eastAsia"/>
          <w:kern w:val="2"/>
          <w:sz w:val="32"/>
          <w:szCs w:val="22"/>
        </w:rPr>
        <w:t xml:space="preserve"> </w:t>
      </w:r>
      <w:r>
        <w:rPr>
          <w:rFonts w:eastAsia="仿宋_GB2312" w:cs="Times New Roman" w:hint="eastAsia"/>
          <w:kern w:val="2"/>
          <w:sz w:val="32"/>
          <w:szCs w:val="22"/>
        </w:rPr>
        <w:t>国家林业和草原局办公室关于有序推进光伏治沙项目开发建设有关事项的通知》（国</w:t>
      </w:r>
      <w:proofErr w:type="gramStart"/>
      <w:r>
        <w:rPr>
          <w:rFonts w:eastAsia="仿宋_GB2312" w:cs="Times New Roman" w:hint="eastAsia"/>
          <w:kern w:val="2"/>
          <w:sz w:val="32"/>
          <w:szCs w:val="22"/>
        </w:rPr>
        <w:t>能综通</w:t>
      </w:r>
      <w:proofErr w:type="gramEnd"/>
      <w:r>
        <w:rPr>
          <w:rFonts w:eastAsia="仿宋_GB2312" w:cs="Times New Roman" w:hint="eastAsia"/>
          <w:kern w:val="2"/>
          <w:sz w:val="32"/>
          <w:szCs w:val="22"/>
        </w:rPr>
        <w:t>新能〔</w:t>
      </w:r>
      <w:r>
        <w:rPr>
          <w:rFonts w:eastAsia="仿宋_GB2312" w:cs="Times New Roman" w:hint="eastAsia"/>
          <w:kern w:val="2"/>
          <w:sz w:val="32"/>
          <w:szCs w:val="22"/>
        </w:rPr>
        <w:t>2024</w:t>
      </w:r>
      <w:r>
        <w:rPr>
          <w:rFonts w:eastAsia="仿宋_GB2312" w:cs="Times New Roman" w:hint="eastAsia"/>
          <w:kern w:val="2"/>
          <w:sz w:val="32"/>
          <w:szCs w:val="22"/>
        </w:rPr>
        <w:t>〕</w:t>
      </w:r>
      <w:r>
        <w:rPr>
          <w:rFonts w:eastAsia="仿宋_GB2312" w:cs="Times New Roman" w:hint="eastAsia"/>
          <w:kern w:val="2"/>
          <w:sz w:val="32"/>
          <w:szCs w:val="22"/>
        </w:rPr>
        <w:t>82</w:t>
      </w:r>
      <w:r>
        <w:rPr>
          <w:rFonts w:eastAsia="仿宋_GB2312" w:cs="Times New Roman" w:hint="eastAsia"/>
          <w:kern w:val="2"/>
          <w:sz w:val="32"/>
          <w:szCs w:val="22"/>
        </w:rPr>
        <w:t>号）。</w:t>
      </w:r>
    </w:p>
    <w:p w14:paraId="53A12C80" w14:textId="77777777" w:rsidR="00A739F2" w:rsidRDefault="00597D48">
      <w:pPr>
        <w:pStyle w:val="20"/>
        <w:ind w:firstLine="640"/>
        <w:rPr>
          <w:rFonts w:cs="Times New Roman"/>
          <w:kern w:val="2"/>
          <w:sz w:val="32"/>
          <w:szCs w:val="22"/>
        </w:rPr>
      </w:pPr>
      <w:r>
        <w:rPr>
          <w:rFonts w:cs="Times New Roman" w:hint="eastAsia"/>
          <w:kern w:val="2"/>
          <w:sz w:val="32"/>
          <w:szCs w:val="22"/>
        </w:rPr>
        <w:t>（</w:t>
      </w:r>
      <w:r>
        <w:rPr>
          <w:rFonts w:cs="Times New Roman" w:hint="eastAsia"/>
          <w:kern w:val="2"/>
          <w:sz w:val="32"/>
          <w:szCs w:val="22"/>
        </w:rPr>
        <w:t>20</w:t>
      </w:r>
      <w:r>
        <w:rPr>
          <w:rFonts w:cs="Times New Roman" w:hint="eastAsia"/>
          <w:kern w:val="2"/>
          <w:sz w:val="32"/>
          <w:szCs w:val="22"/>
        </w:rPr>
        <w:t>）《“十四五”可再生能源发展规划》</w:t>
      </w:r>
    </w:p>
    <w:p w14:paraId="693510A0" w14:textId="77777777" w:rsidR="00A739F2" w:rsidRDefault="00597D48">
      <w:pPr>
        <w:pStyle w:val="20"/>
        <w:ind w:firstLine="640"/>
        <w:rPr>
          <w:rFonts w:cs="Times New Roman"/>
          <w:kern w:val="2"/>
          <w:sz w:val="32"/>
          <w:szCs w:val="22"/>
        </w:rPr>
      </w:pPr>
      <w:r>
        <w:rPr>
          <w:rFonts w:cs="Times New Roman" w:hint="eastAsia"/>
          <w:kern w:val="2"/>
          <w:sz w:val="32"/>
          <w:szCs w:val="22"/>
        </w:rPr>
        <w:t>（</w:t>
      </w:r>
      <w:r>
        <w:rPr>
          <w:rFonts w:cs="Times New Roman" w:hint="eastAsia"/>
          <w:kern w:val="2"/>
          <w:sz w:val="32"/>
          <w:szCs w:val="22"/>
        </w:rPr>
        <w:t>21</w:t>
      </w:r>
      <w:r>
        <w:rPr>
          <w:rFonts w:cs="Times New Roman" w:hint="eastAsia"/>
          <w:kern w:val="2"/>
          <w:sz w:val="32"/>
          <w:szCs w:val="22"/>
        </w:rPr>
        <w:t>）《内蒙古自治区“十四五”可再生能源发展规划》</w:t>
      </w:r>
    </w:p>
    <w:p w14:paraId="33CBBA12" w14:textId="77777777" w:rsidR="00A739F2" w:rsidRDefault="00597D48">
      <w:pPr>
        <w:pStyle w:val="20"/>
        <w:ind w:firstLine="640"/>
        <w:rPr>
          <w:rFonts w:cs="Times New Roman"/>
          <w:kern w:val="2"/>
          <w:sz w:val="32"/>
          <w:szCs w:val="22"/>
        </w:rPr>
      </w:pPr>
      <w:r>
        <w:rPr>
          <w:rFonts w:cs="Times New Roman" w:hint="eastAsia"/>
          <w:kern w:val="2"/>
          <w:sz w:val="32"/>
          <w:szCs w:val="22"/>
        </w:rPr>
        <w:t>（</w:t>
      </w:r>
      <w:r>
        <w:rPr>
          <w:rFonts w:cs="Times New Roman" w:hint="eastAsia"/>
          <w:kern w:val="2"/>
          <w:sz w:val="32"/>
          <w:szCs w:val="22"/>
        </w:rPr>
        <w:t>22</w:t>
      </w:r>
      <w:r>
        <w:rPr>
          <w:rFonts w:cs="Times New Roman" w:hint="eastAsia"/>
          <w:kern w:val="2"/>
          <w:sz w:val="32"/>
          <w:szCs w:val="22"/>
        </w:rPr>
        <w:t>）《</w:t>
      </w:r>
      <w:r>
        <w:rPr>
          <w:rFonts w:cs="Times New Roman"/>
          <w:kern w:val="2"/>
          <w:sz w:val="32"/>
          <w:szCs w:val="22"/>
        </w:rPr>
        <w:t>内蒙古自治区新能源</w:t>
      </w:r>
      <w:r>
        <w:rPr>
          <w:rFonts w:cs="Times New Roman" w:hint="eastAsia"/>
          <w:kern w:val="2"/>
          <w:sz w:val="32"/>
          <w:szCs w:val="22"/>
        </w:rPr>
        <w:t>开发布局与有序利用规划方案》</w:t>
      </w:r>
    </w:p>
    <w:p w14:paraId="29AE0641" w14:textId="77777777" w:rsidR="00A739F2" w:rsidRDefault="00597D48">
      <w:pPr>
        <w:pStyle w:val="20"/>
        <w:ind w:firstLine="640"/>
        <w:rPr>
          <w:rFonts w:cs="Times New Roman"/>
          <w:kern w:val="2"/>
          <w:sz w:val="32"/>
          <w:szCs w:val="22"/>
        </w:rPr>
      </w:pPr>
      <w:r>
        <w:rPr>
          <w:rFonts w:cs="Times New Roman" w:hint="eastAsia"/>
          <w:kern w:val="2"/>
          <w:sz w:val="32"/>
          <w:szCs w:val="22"/>
        </w:rPr>
        <w:t>（</w:t>
      </w:r>
      <w:r>
        <w:rPr>
          <w:rFonts w:cs="Times New Roman" w:hint="eastAsia"/>
          <w:kern w:val="2"/>
          <w:sz w:val="32"/>
          <w:szCs w:val="22"/>
        </w:rPr>
        <w:t>23</w:t>
      </w:r>
      <w:r>
        <w:rPr>
          <w:rFonts w:cs="Times New Roman" w:hint="eastAsia"/>
          <w:kern w:val="2"/>
          <w:sz w:val="32"/>
          <w:szCs w:val="22"/>
        </w:rPr>
        <w:t>）《鄂尔多斯市城市总体规划（</w:t>
      </w:r>
      <w:r>
        <w:rPr>
          <w:rFonts w:cs="Times New Roman" w:hint="eastAsia"/>
          <w:kern w:val="2"/>
          <w:sz w:val="32"/>
          <w:szCs w:val="22"/>
        </w:rPr>
        <w:t>2011</w:t>
      </w:r>
      <w:r>
        <w:rPr>
          <w:rFonts w:cs="Times New Roman" w:hint="eastAsia"/>
          <w:kern w:val="2"/>
          <w:sz w:val="32"/>
          <w:szCs w:val="22"/>
        </w:rPr>
        <w:t>—</w:t>
      </w:r>
      <w:r>
        <w:rPr>
          <w:rFonts w:cs="Times New Roman" w:hint="eastAsia"/>
          <w:kern w:val="2"/>
          <w:sz w:val="32"/>
          <w:szCs w:val="22"/>
        </w:rPr>
        <w:t>2030</w:t>
      </w:r>
      <w:r>
        <w:rPr>
          <w:rFonts w:cs="Times New Roman" w:hint="eastAsia"/>
          <w:kern w:val="2"/>
          <w:sz w:val="32"/>
          <w:szCs w:val="22"/>
        </w:rPr>
        <w:t>）》</w:t>
      </w:r>
    </w:p>
    <w:p w14:paraId="1432AA8E" w14:textId="77777777" w:rsidR="00A739F2" w:rsidRDefault="00597D48">
      <w:pPr>
        <w:pStyle w:val="20"/>
        <w:ind w:firstLine="640"/>
        <w:rPr>
          <w:rFonts w:cs="Times New Roman"/>
          <w:kern w:val="2"/>
          <w:sz w:val="32"/>
          <w:szCs w:val="22"/>
        </w:rPr>
      </w:pPr>
      <w:r>
        <w:rPr>
          <w:rFonts w:cs="Times New Roman" w:hint="eastAsia"/>
          <w:kern w:val="2"/>
          <w:sz w:val="32"/>
          <w:szCs w:val="22"/>
        </w:rPr>
        <w:t>（</w:t>
      </w:r>
      <w:r>
        <w:rPr>
          <w:rFonts w:cs="Times New Roman" w:hint="eastAsia"/>
          <w:kern w:val="2"/>
          <w:sz w:val="32"/>
          <w:szCs w:val="22"/>
        </w:rPr>
        <w:t>24</w:t>
      </w:r>
      <w:r>
        <w:rPr>
          <w:rFonts w:cs="Times New Roman" w:hint="eastAsia"/>
          <w:kern w:val="2"/>
          <w:sz w:val="32"/>
          <w:szCs w:val="22"/>
        </w:rPr>
        <w:t>）《鄂尔多斯市氢能产业发展规划》</w:t>
      </w:r>
    </w:p>
    <w:p w14:paraId="76C5D33D" w14:textId="77777777" w:rsidR="00A739F2" w:rsidRDefault="00597D48">
      <w:pPr>
        <w:pStyle w:val="20"/>
        <w:ind w:firstLine="640"/>
        <w:rPr>
          <w:rFonts w:cs="Times New Roman"/>
          <w:kern w:val="2"/>
          <w:sz w:val="32"/>
          <w:szCs w:val="22"/>
        </w:rPr>
      </w:pPr>
      <w:r>
        <w:rPr>
          <w:rFonts w:cs="Times New Roman" w:hint="eastAsia"/>
          <w:kern w:val="2"/>
          <w:sz w:val="32"/>
          <w:szCs w:val="22"/>
        </w:rPr>
        <w:t>（</w:t>
      </w:r>
      <w:r>
        <w:rPr>
          <w:rFonts w:cs="Times New Roman" w:hint="eastAsia"/>
          <w:kern w:val="2"/>
          <w:sz w:val="32"/>
          <w:szCs w:val="22"/>
        </w:rPr>
        <w:t>25</w:t>
      </w:r>
      <w:r>
        <w:rPr>
          <w:rFonts w:cs="Times New Roman" w:hint="eastAsia"/>
          <w:kern w:val="2"/>
          <w:sz w:val="32"/>
          <w:szCs w:val="22"/>
        </w:rPr>
        <w:t>）《鄂尔多斯市康巴什区国民经济和社会发展第十四个五年规划和</w:t>
      </w:r>
      <w:r>
        <w:rPr>
          <w:rFonts w:cs="Times New Roman" w:hint="eastAsia"/>
          <w:kern w:val="2"/>
          <w:sz w:val="32"/>
          <w:szCs w:val="22"/>
        </w:rPr>
        <w:t>2035</w:t>
      </w:r>
      <w:r>
        <w:rPr>
          <w:rFonts w:cs="Times New Roman" w:hint="eastAsia"/>
          <w:kern w:val="2"/>
          <w:sz w:val="32"/>
          <w:szCs w:val="22"/>
        </w:rPr>
        <w:t>年远景目标纲要（修订版）》</w:t>
      </w:r>
    </w:p>
    <w:p w14:paraId="1E45BA35" w14:textId="77777777" w:rsidR="00A739F2" w:rsidRDefault="00597D48">
      <w:pPr>
        <w:pStyle w:val="20"/>
        <w:ind w:firstLine="640"/>
        <w:rPr>
          <w:rFonts w:cs="Times New Roman"/>
          <w:kern w:val="2"/>
          <w:sz w:val="32"/>
          <w:szCs w:val="22"/>
        </w:rPr>
      </w:pPr>
      <w:r>
        <w:rPr>
          <w:rFonts w:cs="Times New Roman" w:hint="eastAsia"/>
          <w:kern w:val="2"/>
          <w:sz w:val="32"/>
          <w:szCs w:val="22"/>
        </w:rPr>
        <w:t>（</w:t>
      </w:r>
      <w:r>
        <w:rPr>
          <w:rFonts w:cs="Times New Roman" w:hint="eastAsia"/>
          <w:kern w:val="2"/>
          <w:sz w:val="32"/>
          <w:szCs w:val="22"/>
        </w:rPr>
        <w:t>26</w:t>
      </w:r>
      <w:r>
        <w:rPr>
          <w:rFonts w:cs="Times New Roman" w:hint="eastAsia"/>
          <w:kern w:val="2"/>
          <w:sz w:val="32"/>
          <w:szCs w:val="22"/>
        </w:rPr>
        <w:t>）《鄂尔多斯市新型电力系统试点方案》</w:t>
      </w:r>
    </w:p>
    <w:p w14:paraId="74053E38" w14:textId="77777777" w:rsidR="00A739F2" w:rsidRDefault="00597D48">
      <w:pPr>
        <w:pStyle w:val="20"/>
        <w:ind w:firstLine="640"/>
        <w:rPr>
          <w:rFonts w:cs="Times New Roman"/>
          <w:kern w:val="2"/>
          <w:sz w:val="32"/>
          <w:szCs w:val="22"/>
        </w:rPr>
      </w:pPr>
      <w:r>
        <w:rPr>
          <w:rFonts w:cs="Times New Roman" w:hint="eastAsia"/>
          <w:kern w:val="2"/>
          <w:sz w:val="32"/>
          <w:szCs w:val="22"/>
        </w:rPr>
        <w:t>（</w:t>
      </w:r>
      <w:r>
        <w:rPr>
          <w:rFonts w:cs="Times New Roman" w:hint="eastAsia"/>
          <w:kern w:val="2"/>
          <w:sz w:val="32"/>
          <w:szCs w:val="22"/>
        </w:rPr>
        <w:t>27</w:t>
      </w:r>
      <w:r>
        <w:rPr>
          <w:rFonts w:cs="Times New Roman" w:hint="eastAsia"/>
          <w:kern w:val="2"/>
          <w:sz w:val="32"/>
          <w:szCs w:val="22"/>
        </w:rPr>
        <w:t>）《康巴什区碳达峰碳中和行动方案》</w:t>
      </w:r>
    </w:p>
    <w:p w14:paraId="0830E8AD" w14:textId="77777777" w:rsidR="00A739F2" w:rsidRDefault="00597D48">
      <w:pPr>
        <w:keepNext/>
        <w:keepLines/>
        <w:spacing w:line="360" w:lineRule="auto"/>
        <w:ind w:rightChars="100" w:right="320"/>
        <w:outlineLvl w:val="2"/>
        <w:rPr>
          <w:rFonts w:cs="Times New Roman"/>
          <w:bCs/>
          <w:szCs w:val="28"/>
        </w:rPr>
      </w:pPr>
      <w:bookmarkStart w:id="34" w:name="_Toc19483"/>
      <w:bookmarkStart w:id="35" w:name="_Toc50751446"/>
      <w:bookmarkStart w:id="36" w:name="_Toc63033166"/>
      <w:bookmarkStart w:id="37" w:name="_Toc3410"/>
      <w:bookmarkStart w:id="38" w:name="_Toc67609439"/>
      <w:bookmarkStart w:id="39" w:name="_Toc49130166"/>
      <w:r>
        <w:rPr>
          <w:rFonts w:cs="Times New Roman" w:hint="eastAsia"/>
          <w:bCs/>
          <w:szCs w:val="28"/>
        </w:rPr>
        <w:t>3</w:t>
      </w:r>
      <w:r>
        <w:rPr>
          <w:rFonts w:cs="Times New Roman" w:hint="eastAsia"/>
          <w:bCs/>
          <w:szCs w:val="28"/>
        </w:rPr>
        <w:t>、</w:t>
      </w:r>
      <w:r>
        <w:rPr>
          <w:rFonts w:cs="Times New Roman"/>
          <w:bCs/>
          <w:szCs w:val="28"/>
        </w:rPr>
        <w:t>相关技术规范</w:t>
      </w:r>
      <w:bookmarkEnd w:id="34"/>
      <w:bookmarkEnd w:id="35"/>
      <w:bookmarkEnd w:id="36"/>
      <w:bookmarkEnd w:id="37"/>
      <w:bookmarkEnd w:id="38"/>
      <w:bookmarkEnd w:id="39"/>
    </w:p>
    <w:p w14:paraId="575AF1EA" w14:textId="77777777" w:rsidR="00A739F2" w:rsidRDefault="00597D48">
      <w:pPr>
        <w:pStyle w:val="20"/>
        <w:ind w:firstLine="640"/>
        <w:rPr>
          <w:rFonts w:cs="Times New Roman"/>
          <w:kern w:val="2"/>
          <w:sz w:val="32"/>
          <w:szCs w:val="22"/>
        </w:rPr>
      </w:pPr>
      <w:r>
        <w:rPr>
          <w:rFonts w:cs="Times New Roman"/>
          <w:kern w:val="2"/>
          <w:sz w:val="32"/>
          <w:szCs w:val="22"/>
        </w:rPr>
        <w:t>（</w:t>
      </w:r>
      <w:r>
        <w:rPr>
          <w:rFonts w:cs="Times New Roman"/>
          <w:kern w:val="2"/>
          <w:sz w:val="32"/>
          <w:szCs w:val="22"/>
        </w:rPr>
        <w:t>1</w:t>
      </w:r>
      <w:r>
        <w:rPr>
          <w:rFonts w:cs="Times New Roman"/>
          <w:kern w:val="2"/>
          <w:sz w:val="32"/>
          <w:szCs w:val="22"/>
        </w:rPr>
        <w:t>）《风电场工程规划报告编制办法》（发改办能源</w:t>
      </w:r>
      <w:r>
        <w:rPr>
          <w:rFonts w:cs="Times New Roman" w:hint="eastAsia"/>
          <w:kern w:val="2"/>
          <w:sz w:val="32"/>
          <w:szCs w:val="22"/>
        </w:rPr>
        <w:t>〔</w:t>
      </w:r>
      <w:r>
        <w:rPr>
          <w:rFonts w:cs="Times New Roman"/>
          <w:kern w:val="2"/>
          <w:sz w:val="32"/>
          <w:szCs w:val="22"/>
        </w:rPr>
        <w:t>2005</w:t>
      </w:r>
      <w:r>
        <w:rPr>
          <w:rFonts w:cs="Times New Roman" w:hint="eastAsia"/>
          <w:kern w:val="2"/>
          <w:sz w:val="32"/>
          <w:szCs w:val="22"/>
        </w:rPr>
        <w:t>〕</w:t>
      </w:r>
      <w:r>
        <w:rPr>
          <w:rFonts w:cs="Times New Roman"/>
          <w:kern w:val="2"/>
          <w:sz w:val="32"/>
          <w:szCs w:val="22"/>
        </w:rPr>
        <w:t>899</w:t>
      </w:r>
      <w:r>
        <w:rPr>
          <w:rFonts w:cs="Times New Roman"/>
          <w:kern w:val="2"/>
          <w:sz w:val="32"/>
          <w:szCs w:val="22"/>
        </w:rPr>
        <w:t>号文）</w:t>
      </w:r>
    </w:p>
    <w:p w14:paraId="56FF7945" w14:textId="77777777" w:rsidR="00A739F2" w:rsidRDefault="00597D48">
      <w:pPr>
        <w:pStyle w:val="20"/>
        <w:ind w:firstLine="640"/>
        <w:rPr>
          <w:rFonts w:cs="Times New Roman"/>
          <w:kern w:val="2"/>
          <w:sz w:val="32"/>
          <w:szCs w:val="22"/>
        </w:rPr>
      </w:pPr>
      <w:r>
        <w:rPr>
          <w:rFonts w:cs="Times New Roman"/>
          <w:kern w:val="2"/>
          <w:sz w:val="32"/>
          <w:szCs w:val="22"/>
        </w:rPr>
        <w:t>（</w:t>
      </w:r>
      <w:r>
        <w:rPr>
          <w:rFonts w:cs="Times New Roman"/>
          <w:kern w:val="2"/>
          <w:sz w:val="32"/>
          <w:szCs w:val="22"/>
        </w:rPr>
        <w:t>2</w:t>
      </w:r>
      <w:r>
        <w:rPr>
          <w:rFonts w:cs="Times New Roman"/>
          <w:kern w:val="2"/>
          <w:sz w:val="32"/>
          <w:szCs w:val="22"/>
        </w:rPr>
        <w:t>）《风电场工程前期工作管理暂行办法》（发改办能源</w:t>
      </w:r>
      <w:r>
        <w:rPr>
          <w:rFonts w:cs="Times New Roman" w:hint="eastAsia"/>
          <w:kern w:val="2"/>
          <w:sz w:val="32"/>
          <w:szCs w:val="22"/>
        </w:rPr>
        <w:t>〔</w:t>
      </w:r>
      <w:r>
        <w:rPr>
          <w:rFonts w:cs="Times New Roman"/>
          <w:kern w:val="2"/>
          <w:sz w:val="32"/>
          <w:szCs w:val="22"/>
        </w:rPr>
        <w:t>2005</w:t>
      </w:r>
      <w:r>
        <w:rPr>
          <w:rFonts w:cs="Times New Roman" w:hint="eastAsia"/>
          <w:kern w:val="2"/>
          <w:sz w:val="32"/>
          <w:szCs w:val="22"/>
        </w:rPr>
        <w:t>〕</w:t>
      </w:r>
      <w:r>
        <w:rPr>
          <w:rFonts w:cs="Times New Roman"/>
          <w:kern w:val="2"/>
          <w:sz w:val="32"/>
          <w:szCs w:val="22"/>
        </w:rPr>
        <w:t>899</w:t>
      </w:r>
      <w:r>
        <w:rPr>
          <w:rFonts w:cs="Times New Roman"/>
          <w:kern w:val="2"/>
          <w:sz w:val="32"/>
          <w:szCs w:val="22"/>
        </w:rPr>
        <w:t>号文）</w:t>
      </w:r>
    </w:p>
    <w:p w14:paraId="21DC2F0D" w14:textId="77777777" w:rsidR="00A739F2" w:rsidRDefault="00597D48">
      <w:pPr>
        <w:pStyle w:val="20"/>
        <w:ind w:firstLine="640"/>
        <w:rPr>
          <w:rFonts w:cs="Times New Roman"/>
          <w:kern w:val="2"/>
          <w:sz w:val="32"/>
          <w:szCs w:val="22"/>
        </w:rPr>
      </w:pPr>
      <w:r>
        <w:rPr>
          <w:rFonts w:cs="Times New Roman"/>
          <w:kern w:val="2"/>
          <w:sz w:val="32"/>
          <w:szCs w:val="22"/>
        </w:rPr>
        <w:t>（</w:t>
      </w:r>
      <w:r>
        <w:rPr>
          <w:rFonts w:cs="Times New Roman"/>
          <w:kern w:val="2"/>
          <w:sz w:val="32"/>
          <w:szCs w:val="22"/>
        </w:rPr>
        <w:t>3</w:t>
      </w:r>
      <w:r>
        <w:rPr>
          <w:rFonts w:cs="Times New Roman"/>
          <w:kern w:val="2"/>
          <w:sz w:val="32"/>
          <w:szCs w:val="22"/>
        </w:rPr>
        <w:t>）《风电场场址选择技术规定》（</w:t>
      </w:r>
      <w:proofErr w:type="gramStart"/>
      <w:r>
        <w:rPr>
          <w:rFonts w:cs="Times New Roman" w:hint="eastAsia"/>
          <w:kern w:val="2"/>
          <w:sz w:val="32"/>
          <w:szCs w:val="22"/>
        </w:rPr>
        <w:t>发改能源</w:t>
      </w:r>
      <w:proofErr w:type="gramEnd"/>
      <w:r>
        <w:rPr>
          <w:rFonts w:cs="Times New Roman" w:hint="eastAsia"/>
          <w:kern w:val="2"/>
          <w:sz w:val="32"/>
          <w:szCs w:val="22"/>
        </w:rPr>
        <w:t>〔</w:t>
      </w:r>
      <w:r>
        <w:rPr>
          <w:rFonts w:cs="Times New Roman" w:hint="eastAsia"/>
          <w:kern w:val="2"/>
          <w:sz w:val="32"/>
          <w:szCs w:val="22"/>
        </w:rPr>
        <w:t>2003</w:t>
      </w:r>
      <w:r>
        <w:rPr>
          <w:rFonts w:cs="Times New Roman" w:hint="eastAsia"/>
          <w:kern w:val="2"/>
          <w:sz w:val="32"/>
          <w:szCs w:val="22"/>
        </w:rPr>
        <w:t>〕</w:t>
      </w:r>
      <w:r>
        <w:rPr>
          <w:rFonts w:cs="Times New Roman" w:hint="eastAsia"/>
          <w:kern w:val="2"/>
          <w:sz w:val="32"/>
          <w:szCs w:val="22"/>
        </w:rPr>
        <w:t>1403</w:t>
      </w:r>
      <w:r>
        <w:rPr>
          <w:rFonts w:cs="Times New Roman" w:hint="eastAsia"/>
          <w:kern w:val="2"/>
          <w:sz w:val="32"/>
          <w:szCs w:val="22"/>
        </w:rPr>
        <w:t>号</w:t>
      </w:r>
      <w:r>
        <w:rPr>
          <w:rFonts w:cs="Times New Roman"/>
          <w:kern w:val="2"/>
          <w:sz w:val="32"/>
          <w:szCs w:val="22"/>
        </w:rPr>
        <w:t>）</w:t>
      </w:r>
    </w:p>
    <w:p w14:paraId="1705B72E" w14:textId="77777777" w:rsidR="00A739F2" w:rsidRDefault="00597D48">
      <w:pPr>
        <w:pStyle w:val="20"/>
        <w:ind w:firstLine="640"/>
        <w:rPr>
          <w:rFonts w:cs="Times New Roman"/>
          <w:kern w:val="2"/>
          <w:sz w:val="32"/>
          <w:szCs w:val="22"/>
        </w:rPr>
      </w:pPr>
      <w:r>
        <w:rPr>
          <w:rFonts w:cs="Times New Roman"/>
          <w:kern w:val="2"/>
          <w:sz w:val="32"/>
          <w:szCs w:val="22"/>
        </w:rPr>
        <w:lastRenderedPageBreak/>
        <w:t>（</w:t>
      </w:r>
      <w:r>
        <w:rPr>
          <w:rFonts w:cs="Times New Roman"/>
          <w:kern w:val="2"/>
          <w:sz w:val="32"/>
          <w:szCs w:val="22"/>
        </w:rPr>
        <w:t>4</w:t>
      </w:r>
      <w:r>
        <w:rPr>
          <w:rFonts w:cs="Times New Roman"/>
          <w:kern w:val="2"/>
          <w:sz w:val="32"/>
          <w:szCs w:val="22"/>
        </w:rPr>
        <w:t>）《风电场场址工程地质勘察技术规定》（</w:t>
      </w:r>
      <w:proofErr w:type="gramStart"/>
      <w:r>
        <w:rPr>
          <w:rFonts w:cs="Times New Roman" w:hint="eastAsia"/>
          <w:kern w:val="2"/>
          <w:sz w:val="32"/>
          <w:szCs w:val="22"/>
        </w:rPr>
        <w:t>发改能源</w:t>
      </w:r>
      <w:proofErr w:type="gramEnd"/>
      <w:r>
        <w:rPr>
          <w:rFonts w:cs="Times New Roman" w:hint="eastAsia"/>
          <w:kern w:val="2"/>
          <w:sz w:val="32"/>
          <w:szCs w:val="22"/>
        </w:rPr>
        <w:t>〔</w:t>
      </w:r>
      <w:r>
        <w:rPr>
          <w:rFonts w:cs="Times New Roman" w:hint="eastAsia"/>
          <w:kern w:val="2"/>
          <w:sz w:val="32"/>
          <w:szCs w:val="22"/>
        </w:rPr>
        <w:t>2003</w:t>
      </w:r>
      <w:r>
        <w:rPr>
          <w:rFonts w:cs="Times New Roman" w:hint="eastAsia"/>
          <w:kern w:val="2"/>
          <w:sz w:val="32"/>
          <w:szCs w:val="22"/>
        </w:rPr>
        <w:t>〕</w:t>
      </w:r>
      <w:r>
        <w:rPr>
          <w:rFonts w:cs="Times New Roman" w:hint="eastAsia"/>
          <w:kern w:val="2"/>
          <w:sz w:val="32"/>
          <w:szCs w:val="22"/>
        </w:rPr>
        <w:t>1403</w:t>
      </w:r>
      <w:r>
        <w:rPr>
          <w:rFonts w:cs="Times New Roman" w:hint="eastAsia"/>
          <w:kern w:val="2"/>
          <w:sz w:val="32"/>
          <w:szCs w:val="22"/>
        </w:rPr>
        <w:t>号</w:t>
      </w:r>
      <w:r>
        <w:rPr>
          <w:rFonts w:cs="Times New Roman"/>
          <w:kern w:val="2"/>
          <w:sz w:val="32"/>
          <w:szCs w:val="22"/>
        </w:rPr>
        <w:t>）</w:t>
      </w:r>
    </w:p>
    <w:p w14:paraId="51510EB1" w14:textId="77777777" w:rsidR="00A739F2" w:rsidRDefault="00597D48">
      <w:pPr>
        <w:pStyle w:val="20"/>
        <w:ind w:firstLine="640"/>
        <w:rPr>
          <w:rFonts w:cs="Times New Roman"/>
          <w:kern w:val="2"/>
          <w:sz w:val="32"/>
          <w:szCs w:val="22"/>
        </w:rPr>
      </w:pPr>
      <w:r>
        <w:rPr>
          <w:rFonts w:cs="Times New Roman"/>
          <w:kern w:val="2"/>
          <w:sz w:val="32"/>
          <w:szCs w:val="22"/>
        </w:rPr>
        <w:t>（</w:t>
      </w:r>
      <w:r>
        <w:rPr>
          <w:rFonts w:cs="Times New Roman"/>
          <w:kern w:val="2"/>
          <w:sz w:val="32"/>
          <w:szCs w:val="22"/>
        </w:rPr>
        <w:t>5</w:t>
      </w:r>
      <w:r>
        <w:rPr>
          <w:rFonts w:cs="Times New Roman"/>
          <w:kern w:val="2"/>
          <w:sz w:val="32"/>
          <w:szCs w:val="22"/>
        </w:rPr>
        <w:t>）《</w:t>
      </w:r>
      <w:r>
        <w:rPr>
          <w:rFonts w:cs="Times New Roman" w:hint="eastAsia"/>
          <w:kern w:val="2"/>
          <w:sz w:val="32"/>
          <w:szCs w:val="22"/>
        </w:rPr>
        <w:t>陆上风电场工程概算定额</w:t>
      </w:r>
      <w:r>
        <w:rPr>
          <w:rFonts w:cs="Times New Roman"/>
          <w:kern w:val="2"/>
          <w:sz w:val="32"/>
          <w:szCs w:val="22"/>
        </w:rPr>
        <w:t>》</w:t>
      </w:r>
      <w:r>
        <w:rPr>
          <w:rFonts w:cs="Times New Roman" w:hint="eastAsia"/>
          <w:kern w:val="2"/>
          <w:sz w:val="32"/>
          <w:szCs w:val="22"/>
        </w:rPr>
        <w:t>（</w:t>
      </w:r>
      <w:r>
        <w:rPr>
          <w:rFonts w:cs="Times New Roman" w:hint="eastAsia"/>
          <w:kern w:val="2"/>
          <w:sz w:val="32"/>
          <w:szCs w:val="22"/>
        </w:rPr>
        <w:t>NB/T 31010-2019</w:t>
      </w:r>
      <w:r>
        <w:rPr>
          <w:rFonts w:cs="Times New Roman" w:hint="eastAsia"/>
          <w:kern w:val="2"/>
          <w:sz w:val="32"/>
          <w:szCs w:val="22"/>
        </w:rPr>
        <w:t>）</w:t>
      </w:r>
    </w:p>
    <w:p w14:paraId="2DAD71DF" w14:textId="77777777" w:rsidR="00A739F2" w:rsidRDefault="00597D48">
      <w:pPr>
        <w:pStyle w:val="20"/>
        <w:ind w:firstLine="640"/>
        <w:rPr>
          <w:rFonts w:cs="Times New Roman"/>
          <w:kern w:val="2"/>
          <w:sz w:val="32"/>
          <w:szCs w:val="22"/>
        </w:rPr>
      </w:pPr>
      <w:r>
        <w:rPr>
          <w:rFonts w:cs="Times New Roman"/>
          <w:kern w:val="2"/>
          <w:sz w:val="32"/>
          <w:szCs w:val="22"/>
        </w:rPr>
        <w:t>（</w:t>
      </w:r>
      <w:r>
        <w:rPr>
          <w:rFonts w:cs="Times New Roman"/>
          <w:kern w:val="2"/>
          <w:sz w:val="32"/>
          <w:szCs w:val="22"/>
        </w:rPr>
        <w:t>7</w:t>
      </w:r>
      <w:r>
        <w:rPr>
          <w:rFonts w:cs="Times New Roman"/>
          <w:kern w:val="2"/>
          <w:sz w:val="32"/>
          <w:szCs w:val="22"/>
        </w:rPr>
        <w:t>）《风电场风能资源测量方法》</w:t>
      </w:r>
      <w:r>
        <w:rPr>
          <w:rFonts w:cs="Times New Roman" w:hint="eastAsia"/>
          <w:kern w:val="2"/>
          <w:sz w:val="32"/>
          <w:szCs w:val="22"/>
        </w:rPr>
        <w:t>（</w:t>
      </w:r>
      <w:r>
        <w:rPr>
          <w:rFonts w:cs="Times New Roman"/>
          <w:kern w:val="2"/>
          <w:sz w:val="32"/>
          <w:szCs w:val="22"/>
        </w:rPr>
        <w:t>GB/T</w:t>
      </w:r>
      <w:r>
        <w:rPr>
          <w:rFonts w:cs="Times New Roman" w:hint="eastAsia"/>
          <w:kern w:val="2"/>
          <w:sz w:val="32"/>
          <w:szCs w:val="22"/>
        </w:rPr>
        <w:t xml:space="preserve"> </w:t>
      </w:r>
      <w:r>
        <w:rPr>
          <w:rFonts w:cs="Times New Roman"/>
          <w:kern w:val="2"/>
          <w:sz w:val="32"/>
          <w:szCs w:val="22"/>
        </w:rPr>
        <w:t>18709-2002</w:t>
      </w:r>
      <w:r>
        <w:rPr>
          <w:rFonts w:cs="Times New Roman" w:hint="eastAsia"/>
          <w:kern w:val="2"/>
          <w:sz w:val="32"/>
          <w:szCs w:val="22"/>
        </w:rPr>
        <w:t>）</w:t>
      </w:r>
    </w:p>
    <w:p w14:paraId="71F63C1E" w14:textId="77777777" w:rsidR="00A739F2" w:rsidRDefault="00597D48">
      <w:pPr>
        <w:pStyle w:val="20"/>
        <w:ind w:firstLine="640"/>
        <w:rPr>
          <w:rFonts w:cs="Times New Roman"/>
          <w:kern w:val="2"/>
          <w:sz w:val="32"/>
          <w:szCs w:val="22"/>
        </w:rPr>
      </w:pPr>
      <w:r>
        <w:rPr>
          <w:rFonts w:cs="Times New Roman"/>
          <w:kern w:val="2"/>
          <w:sz w:val="32"/>
          <w:szCs w:val="22"/>
        </w:rPr>
        <w:t>（</w:t>
      </w:r>
      <w:r>
        <w:rPr>
          <w:rFonts w:cs="Times New Roman"/>
          <w:kern w:val="2"/>
          <w:sz w:val="32"/>
          <w:szCs w:val="22"/>
        </w:rPr>
        <w:t>8</w:t>
      </w:r>
      <w:r>
        <w:rPr>
          <w:rFonts w:cs="Times New Roman"/>
          <w:kern w:val="2"/>
          <w:sz w:val="32"/>
          <w:szCs w:val="22"/>
        </w:rPr>
        <w:t>）《风电场风能资源评估方法》</w:t>
      </w:r>
      <w:r>
        <w:rPr>
          <w:rFonts w:cs="Times New Roman" w:hint="eastAsia"/>
          <w:kern w:val="2"/>
          <w:sz w:val="32"/>
          <w:szCs w:val="22"/>
        </w:rPr>
        <w:t>（</w:t>
      </w:r>
      <w:r>
        <w:rPr>
          <w:rFonts w:cs="Times New Roman"/>
          <w:kern w:val="2"/>
          <w:sz w:val="32"/>
          <w:szCs w:val="22"/>
        </w:rPr>
        <w:t>GB/T</w:t>
      </w:r>
      <w:r>
        <w:rPr>
          <w:rFonts w:cs="Times New Roman" w:hint="eastAsia"/>
          <w:kern w:val="2"/>
          <w:sz w:val="32"/>
          <w:szCs w:val="22"/>
        </w:rPr>
        <w:t xml:space="preserve"> </w:t>
      </w:r>
      <w:r>
        <w:rPr>
          <w:rFonts w:cs="Times New Roman"/>
          <w:kern w:val="2"/>
          <w:sz w:val="32"/>
          <w:szCs w:val="22"/>
        </w:rPr>
        <w:t>18710-2002</w:t>
      </w:r>
      <w:r>
        <w:rPr>
          <w:rFonts w:cs="Times New Roman" w:hint="eastAsia"/>
          <w:kern w:val="2"/>
          <w:sz w:val="32"/>
          <w:szCs w:val="22"/>
        </w:rPr>
        <w:t>）</w:t>
      </w:r>
    </w:p>
    <w:p w14:paraId="0E6D4F60" w14:textId="77777777" w:rsidR="00A739F2" w:rsidRDefault="00597D48">
      <w:pPr>
        <w:pStyle w:val="20"/>
        <w:ind w:firstLine="640"/>
        <w:rPr>
          <w:rFonts w:cs="Times New Roman"/>
          <w:kern w:val="2"/>
          <w:sz w:val="32"/>
          <w:szCs w:val="22"/>
        </w:rPr>
      </w:pPr>
      <w:r>
        <w:rPr>
          <w:rFonts w:cs="Times New Roman"/>
          <w:kern w:val="2"/>
          <w:sz w:val="32"/>
          <w:szCs w:val="22"/>
        </w:rPr>
        <w:t>（</w:t>
      </w:r>
      <w:r>
        <w:rPr>
          <w:rFonts w:cs="Times New Roman"/>
          <w:kern w:val="2"/>
          <w:sz w:val="32"/>
          <w:szCs w:val="22"/>
        </w:rPr>
        <w:t>9</w:t>
      </w:r>
      <w:r>
        <w:rPr>
          <w:rFonts w:cs="Times New Roman"/>
          <w:kern w:val="2"/>
          <w:sz w:val="32"/>
          <w:szCs w:val="22"/>
        </w:rPr>
        <w:t>）《风电场风能资源测量和评估技术规定》（</w:t>
      </w:r>
      <w:proofErr w:type="gramStart"/>
      <w:r>
        <w:rPr>
          <w:rFonts w:cs="Times New Roman" w:hint="eastAsia"/>
          <w:kern w:val="2"/>
          <w:sz w:val="32"/>
          <w:szCs w:val="22"/>
        </w:rPr>
        <w:t>发改能源</w:t>
      </w:r>
      <w:proofErr w:type="gramEnd"/>
      <w:r>
        <w:rPr>
          <w:rFonts w:cs="Times New Roman" w:hint="eastAsia"/>
          <w:kern w:val="2"/>
          <w:sz w:val="32"/>
          <w:szCs w:val="22"/>
        </w:rPr>
        <w:t>〔</w:t>
      </w:r>
      <w:r>
        <w:rPr>
          <w:rFonts w:cs="Times New Roman" w:hint="eastAsia"/>
          <w:kern w:val="2"/>
          <w:sz w:val="32"/>
          <w:szCs w:val="22"/>
        </w:rPr>
        <w:t>2003</w:t>
      </w:r>
      <w:r>
        <w:rPr>
          <w:rFonts w:cs="Times New Roman" w:hint="eastAsia"/>
          <w:kern w:val="2"/>
          <w:sz w:val="32"/>
          <w:szCs w:val="22"/>
        </w:rPr>
        <w:t>〕</w:t>
      </w:r>
      <w:r>
        <w:rPr>
          <w:rFonts w:cs="Times New Roman" w:hint="eastAsia"/>
          <w:kern w:val="2"/>
          <w:sz w:val="32"/>
          <w:szCs w:val="22"/>
        </w:rPr>
        <w:t>1403</w:t>
      </w:r>
      <w:r>
        <w:rPr>
          <w:rFonts w:cs="Times New Roman" w:hint="eastAsia"/>
          <w:kern w:val="2"/>
          <w:sz w:val="32"/>
          <w:szCs w:val="22"/>
        </w:rPr>
        <w:t>号</w:t>
      </w:r>
      <w:r>
        <w:rPr>
          <w:rFonts w:cs="Times New Roman"/>
          <w:kern w:val="2"/>
          <w:sz w:val="32"/>
          <w:szCs w:val="22"/>
        </w:rPr>
        <w:t>）</w:t>
      </w:r>
    </w:p>
    <w:p w14:paraId="128ACEC0" w14:textId="77777777" w:rsidR="00A739F2" w:rsidRDefault="00597D48">
      <w:pPr>
        <w:pStyle w:val="20"/>
        <w:ind w:firstLine="640"/>
        <w:rPr>
          <w:rFonts w:cs="Times New Roman"/>
          <w:kern w:val="2"/>
          <w:sz w:val="32"/>
          <w:szCs w:val="22"/>
        </w:rPr>
      </w:pPr>
      <w:r>
        <w:rPr>
          <w:rFonts w:cs="Times New Roman"/>
          <w:kern w:val="2"/>
          <w:sz w:val="32"/>
          <w:szCs w:val="22"/>
        </w:rPr>
        <w:t>（</w:t>
      </w:r>
      <w:r>
        <w:rPr>
          <w:rFonts w:cs="Times New Roman"/>
          <w:kern w:val="2"/>
          <w:sz w:val="32"/>
          <w:szCs w:val="22"/>
        </w:rPr>
        <w:t>10</w:t>
      </w:r>
      <w:r>
        <w:rPr>
          <w:rFonts w:cs="Times New Roman"/>
          <w:kern w:val="2"/>
          <w:sz w:val="32"/>
          <w:szCs w:val="22"/>
        </w:rPr>
        <w:t>）《全国风能资源评价技术规定》（</w:t>
      </w:r>
      <w:proofErr w:type="gramStart"/>
      <w:r>
        <w:rPr>
          <w:rFonts w:cs="Times New Roman"/>
          <w:kern w:val="2"/>
          <w:sz w:val="32"/>
          <w:szCs w:val="22"/>
        </w:rPr>
        <w:t>发改能源</w:t>
      </w:r>
      <w:proofErr w:type="gramEnd"/>
      <w:r>
        <w:rPr>
          <w:rFonts w:cs="Times New Roman" w:hint="eastAsia"/>
          <w:kern w:val="2"/>
          <w:sz w:val="32"/>
          <w:szCs w:val="22"/>
        </w:rPr>
        <w:t>〔</w:t>
      </w:r>
      <w:r>
        <w:rPr>
          <w:rFonts w:cs="Times New Roman"/>
          <w:kern w:val="2"/>
          <w:sz w:val="32"/>
          <w:szCs w:val="22"/>
        </w:rPr>
        <w:t>2004</w:t>
      </w:r>
      <w:r>
        <w:rPr>
          <w:rFonts w:cs="Times New Roman" w:hint="eastAsia"/>
          <w:kern w:val="2"/>
          <w:sz w:val="32"/>
          <w:szCs w:val="22"/>
        </w:rPr>
        <w:t>〕</w:t>
      </w:r>
      <w:r>
        <w:rPr>
          <w:rFonts w:cs="Times New Roman"/>
          <w:kern w:val="2"/>
          <w:sz w:val="32"/>
          <w:szCs w:val="22"/>
        </w:rPr>
        <w:t>865</w:t>
      </w:r>
      <w:r>
        <w:rPr>
          <w:rFonts w:cs="Times New Roman"/>
          <w:kern w:val="2"/>
          <w:sz w:val="32"/>
          <w:szCs w:val="22"/>
        </w:rPr>
        <w:t>号）</w:t>
      </w:r>
    </w:p>
    <w:p w14:paraId="722A4A0E" w14:textId="77777777" w:rsidR="00A739F2" w:rsidRDefault="00597D48">
      <w:pPr>
        <w:pStyle w:val="20"/>
        <w:ind w:firstLine="640"/>
        <w:rPr>
          <w:rFonts w:cs="Times New Roman"/>
          <w:kern w:val="2"/>
          <w:sz w:val="32"/>
          <w:szCs w:val="22"/>
        </w:rPr>
      </w:pPr>
      <w:r>
        <w:rPr>
          <w:rFonts w:cs="Times New Roman"/>
          <w:kern w:val="2"/>
          <w:sz w:val="32"/>
          <w:szCs w:val="22"/>
        </w:rPr>
        <w:t>（</w:t>
      </w:r>
      <w:r>
        <w:rPr>
          <w:rFonts w:cs="Times New Roman"/>
          <w:kern w:val="2"/>
          <w:sz w:val="32"/>
          <w:szCs w:val="22"/>
        </w:rPr>
        <w:t>11</w:t>
      </w:r>
      <w:r>
        <w:rPr>
          <w:rFonts w:cs="Times New Roman"/>
          <w:kern w:val="2"/>
          <w:sz w:val="32"/>
          <w:szCs w:val="22"/>
        </w:rPr>
        <w:t>）《</w:t>
      </w:r>
      <w:r>
        <w:rPr>
          <w:rFonts w:cs="Times New Roman" w:hint="eastAsia"/>
          <w:kern w:val="2"/>
          <w:sz w:val="32"/>
          <w:szCs w:val="22"/>
        </w:rPr>
        <w:t>风电场接入电力系统技术规定</w:t>
      </w:r>
      <w:r>
        <w:rPr>
          <w:rFonts w:cs="Times New Roman" w:hint="eastAsia"/>
          <w:kern w:val="2"/>
          <w:sz w:val="32"/>
          <w:szCs w:val="22"/>
        </w:rPr>
        <w:t xml:space="preserve"> </w:t>
      </w:r>
      <w:r>
        <w:rPr>
          <w:rFonts w:cs="Times New Roman" w:hint="eastAsia"/>
          <w:kern w:val="2"/>
          <w:sz w:val="32"/>
          <w:szCs w:val="22"/>
        </w:rPr>
        <w:t>第</w:t>
      </w:r>
      <w:r>
        <w:rPr>
          <w:rFonts w:cs="Times New Roman" w:hint="eastAsia"/>
          <w:kern w:val="2"/>
          <w:sz w:val="32"/>
          <w:szCs w:val="22"/>
        </w:rPr>
        <w:t>1</w:t>
      </w:r>
      <w:r>
        <w:rPr>
          <w:rFonts w:cs="Times New Roman" w:hint="eastAsia"/>
          <w:kern w:val="2"/>
          <w:sz w:val="32"/>
          <w:szCs w:val="22"/>
        </w:rPr>
        <w:t>部分：陆上风电</w:t>
      </w:r>
      <w:r>
        <w:rPr>
          <w:rFonts w:cs="Times New Roman"/>
          <w:kern w:val="2"/>
          <w:sz w:val="32"/>
          <w:szCs w:val="22"/>
        </w:rPr>
        <w:t>》（</w:t>
      </w:r>
      <w:r>
        <w:rPr>
          <w:rFonts w:cs="Times New Roman" w:hint="eastAsia"/>
          <w:kern w:val="2"/>
          <w:sz w:val="32"/>
          <w:szCs w:val="22"/>
        </w:rPr>
        <w:t>GB/T 19963.1</w:t>
      </w:r>
      <w:r>
        <w:rPr>
          <w:rFonts w:cs="Times New Roman" w:hint="eastAsia"/>
          <w:kern w:val="2"/>
          <w:sz w:val="32"/>
          <w:szCs w:val="22"/>
        </w:rPr>
        <w:t>-2021</w:t>
      </w:r>
      <w:r>
        <w:rPr>
          <w:rFonts w:cs="Times New Roman"/>
          <w:kern w:val="2"/>
          <w:sz w:val="32"/>
          <w:szCs w:val="22"/>
        </w:rPr>
        <w:t>）</w:t>
      </w:r>
    </w:p>
    <w:p w14:paraId="5B67DEAA" w14:textId="77777777" w:rsidR="00A739F2" w:rsidRDefault="00597D48">
      <w:pPr>
        <w:pStyle w:val="20"/>
        <w:ind w:firstLine="640"/>
        <w:rPr>
          <w:rFonts w:cs="Times New Roman"/>
          <w:kern w:val="2"/>
          <w:sz w:val="32"/>
          <w:szCs w:val="22"/>
        </w:rPr>
      </w:pPr>
      <w:r>
        <w:rPr>
          <w:rFonts w:cs="Times New Roman"/>
          <w:kern w:val="2"/>
          <w:sz w:val="32"/>
          <w:szCs w:val="22"/>
        </w:rPr>
        <w:t>（</w:t>
      </w:r>
      <w:r>
        <w:rPr>
          <w:rFonts w:cs="Times New Roman"/>
          <w:kern w:val="2"/>
          <w:sz w:val="32"/>
          <w:szCs w:val="22"/>
        </w:rPr>
        <w:t>12</w:t>
      </w:r>
      <w:r>
        <w:rPr>
          <w:rFonts w:cs="Times New Roman"/>
          <w:kern w:val="2"/>
          <w:sz w:val="32"/>
          <w:szCs w:val="22"/>
        </w:rPr>
        <w:t>）《</w:t>
      </w:r>
      <w:r>
        <w:rPr>
          <w:rFonts w:cs="Times New Roman" w:hint="eastAsia"/>
          <w:kern w:val="2"/>
          <w:sz w:val="32"/>
          <w:szCs w:val="22"/>
        </w:rPr>
        <w:t>太阳能资源评估方法</w:t>
      </w:r>
      <w:r>
        <w:rPr>
          <w:rFonts w:cs="Times New Roman"/>
          <w:kern w:val="2"/>
          <w:sz w:val="32"/>
          <w:szCs w:val="22"/>
        </w:rPr>
        <w:t>》（</w:t>
      </w:r>
      <w:r>
        <w:rPr>
          <w:rFonts w:cs="Times New Roman" w:hint="eastAsia"/>
          <w:kern w:val="2"/>
          <w:sz w:val="32"/>
          <w:szCs w:val="22"/>
        </w:rPr>
        <w:t>GB/T 37526</w:t>
      </w:r>
      <w:r>
        <w:rPr>
          <w:rFonts w:cs="Times New Roman"/>
          <w:kern w:val="2"/>
          <w:sz w:val="32"/>
          <w:szCs w:val="22"/>
        </w:rPr>
        <w:t>-2019</w:t>
      </w:r>
      <w:r>
        <w:rPr>
          <w:rFonts w:cs="Times New Roman"/>
          <w:kern w:val="2"/>
          <w:sz w:val="32"/>
          <w:szCs w:val="22"/>
        </w:rPr>
        <w:t>）</w:t>
      </w:r>
    </w:p>
    <w:p w14:paraId="3AD60908" w14:textId="77777777" w:rsidR="00A739F2" w:rsidRDefault="00597D48">
      <w:pPr>
        <w:pStyle w:val="20"/>
        <w:ind w:firstLine="640"/>
        <w:rPr>
          <w:rFonts w:cs="Times New Roman"/>
          <w:kern w:val="2"/>
          <w:sz w:val="32"/>
          <w:szCs w:val="22"/>
        </w:rPr>
      </w:pPr>
      <w:r>
        <w:rPr>
          <w:rFonts w:cs="Times New Roman"/>
          <w:kern w:val="2"/>
          <w:sz w:val="32"/>
          <w:szCs w:val="22"/>
        </w:rPr>
        <w:t>（</w:t>
      </w:r>
      <w:r>
        <w:rPr>
          <w:rFonts w:cs="Times New Roman"/>
          <w:kern w:val="2"/>
          <w:sz w:val="32"/>
          <w:szCs w:val="22"/>
        </w:rPr>
        <w:t>13</w:t>
      </w:r>
      <w:r>
        <w:rPr>
          <w:rFonts w:cs="Times New Roman"/>
          <w:kern w:val="2"/>
          <w:sz w:val="32"/>
          <w:szCs w:val="22"/>
        </w:rPr>
        <w:t>）《风光储联合发电站设计标准》</w:t>
      </w:r>
      <w:r>
        <w:rPr>
          <w:rFonts w:ascii="仿宋_GB2312" w:hAnsi="仿宋_GB2312" w:cs="仿宋_GB2312" w:hint="eastAsia"/>
          <w:kern w:val="2"/>
          <w:sz w:val="32"/>
          <w:szCs w:val="22"/>
        </w:rPr>
        <w:t>（</w:t>
      </w:r>
      <w:r>
        <w:rPr>
          <w:rFonts w:cs="Times New Roman"/>
          <w:kern w:val="2"/>
          <w:sz w:val="32"/>
          <w:szCs w:val="22"/>
        </w:rPr>
        <w:t>GB/T 51437-2021</w:t>
      </w:r>
      <w:r>
        <w:rPr>
          <w:rFonts w:cs="Times New Roman" w:hint="eastAsia"/>
          <w:kern w:val="2"/>
          <w:sz w:val="32"/>
          <w:szCs w:val="22"/>
        </w:rPr>
        <w:t>）</w:t>
      </w:r>
    </w:p>
    <w:p w14:paraId="4025599D" w14:textId="77777777" w:rsidR="00A739F2" w:rsidRDefault="00597D48">
      <w:pPr>
        <w:pStyle w:val="20"/>
        <w:ind w:firstLine="640"/>
        <w:rPr>
          <w:rFonts w:cs="Times New Roman"/>
          <w:kern w:val="2"/>
          <w:sz w:val="32"/>
          <w:szCs w:val="22"/>
        </w:rPr>
      </w:pPr>
      <w:r>
        <w:rPr>
          <w:rFonts w:cs="Times New Roman"/>
          <w:kern w:val="2"/>
          <w:sz w:val="32"/>
          <w:szCs w:val="22"/>
        </w:rPr>
        <w:t>（</w:t>
      </w:r>
      <w:r>
        <w:rPr>
          <w:rFonts w:cs="Times New Roman"/>
          <w:kern w:val="2"/>
          <w:sz w:val="32"/>
          <w:szCs w:val="22"/>
        </w:rPr>
        <w:t>14</w:t>
      </w:r>
      <w:r>
        <w:rPr>
          <w:rFonts w:cs="Times New Roman"/>
          <w:kern w:val="2"/>
          <w:sz w:val="32"/>
          <w:szCs w:val="22"/>
        </w:rPr>
        <w:t>）《太阳能发电工程太阳能资源评估技术规程》</w:t>
      </w:r>
      <w:r>
        <w:rPr>
          <w:rFonts w:cs="Times New Roman" w:hint="eastAsia"/>
          <w:kern w:val="2"/>
          <w:sz w:val="32"/>
          <w:szCs w:val="22"/>
        </w:rPr>
        <w:t>（</w:t>
      </w:r>
      <w:r>
        <w:rPr>
          <w:rFonts w:cs="Times New Roman"/>
          <w:kern w:val="2"/>
          <w:sz w:val="32"/>
          <w:szCs w:val="22"/>
        </w:rPr>
        <w:t>NB/T 10353-2019</w:t>
      </w:r>
      <w:r>
        <w:rPr>
          <w:rFonts w:cs="Times New Roman" w:hint="eastAsia"/>
          <w:kern w:val="2"/>
          <w:sz w:val="32"/>
          <w:szCs w:val="22"/>
        </w:rPr>
        <w:t>）</w:t>
      </w:r>
    </w:p>
    <w:p w14:paraId="73EBB07A" w14:textId="77777777" w:rsidR="00A739F2" w:rsidRDefault="00597D48">
      <w:pPr>
        <w:pStyle w:val="20"/>
        <w:ind w:firstLine="640"/>
        <w:rPr>
          <w:rFonts w:cs="Times New Roman"/>
          <w:kern w:val="2"/>
          <w:sz w:val="32"/>
          <w:szCs w:val="22"/>
        </w:rPr>
      </w:pPr>
      <w:r>
        <w:rPr>
          <w:rFonts w:cs="Times New Roman"/>
          <w:kern w:val="2"/>
          <w:sz w:val="32"/>
          <w:szCs w:val="22"/>
        </w:rPr>
        <w:t>（</w:t>
      </w:r>
      <w:r>
        <w:rPr>
          <w:rFonts w:cs="Times New Roman"/>
          <w:kern w:val="2"/>
          <w:sz w:val="32"/>
          <w:szCs w:val="22"/>
        </w:rPr>
        <w:t>15</w:t>
      </w:r>
      <w:r>
        <w:rPr>
          <w:rFonts w:cs="Times New Roman"/>
          <w:kern w:val="2"/>
          <w:sz w:val="32"/>
          <w:szCs w:val="22"/>
        </w:rPr>
        <w:t>）《光伏发电工程规划报告编制规程》</w:t>
      </w:r>
      <w:r>
        <w:rPr>
          <w:rFonts w:cs="Times New Roman" w:hint="eastAsia"/>
          <w:kern w:val="2"/>
          <w:sz w:val="32"/>
          <w:szCs w:val="22"/>
        </w:rPr>
        <w:t>（</w:t>
      </w:r>
      <w:r>
        <w:rPr>
          <w:rFonts w:cs="Times New Roman"/>
          <w:kern w:val="2"/>
          <w:sz w:val="32"/>
          <w:szCs w:val="22"/>
        </w:rPr>
        <w:t>NB/T 32046 -2018</w:t>
      </w:r>
      <w:r>
        <w:rPr>
          <w:rFonts w:cs="Times New Roman" w:hint="eastAsia"/>
          <w:kern w:val="2"/>
          <w:sz w:val="32"/>
          <w:szCs w:val="22"/>
        </w:rPr>
        <w:t>）</w:t>
      </w:r>
    </w:p>
    <w:p w14:paraId="33DE2D5C" w14:textId="77777777" w:rsidR="00A739F2" w:rsidRDefault="00597D48">
      <w:pPr>
        <w:pStyle w:val="20"/>
        <w:ind w:firstLine="640"/>
        <w:rPr>
          <w:rFonts w:cs="Times New Roman"/>
          <w:kern w:val="2"/>
          <w:sz w:val="32"/>
          <w:szCs w:val="22"/>
        </w:rPr>
      </w:pPr>
      <w:r>
        <w:rPr>
          <w:rFonts w:cs="Times New Roman" w:hint="eastAsia"/>
          <w:kern w:val="2"/>
          <w:sz w:val="32"/>
          <w:szCs w:val="22"/>
        </w:rPr>
        <w:t>（</w:t>
      </w:r>
      <w:r>
        <w:rPr>
          <w:rFonts w:cs="Times New Roman" w:hint="eastAsia"/>
          <w:kern w:val="2"/>
          <w:sz w:val="32"/>
          <w:szCs w:val="22"/>
        </w:rPr>
        <w:t>16</w:t>
      </w:r>
      <w:r>
        <w:rPr>
          <w:rFonts w:cs="Times New Roman" w:hint="eastAsia"/>
          <w:kern w:val="2"/>
          <w:sz w:val="32"/>
          <w:szCs w:val="22"/>
        </w:rPr>
        <w:t>）《风电场工程规划报告编制规程》（</w:t>
      </w:r>
      <w:r>
        <w:rPr>
          <w:rFonts w:cs="Times New Roman" w:hint="eastAsia"/>
          <w:kern w:val="2"/>
          <w:sz w:val="32"/>
          <w:szCs w:val="22"/>
        </w:rPr>
        <w:t>NB/T 31098-2016</w:t>
      </w:r>
      <w:r>
        <w:rPr>
          <w:rFonts w:cs="Times New Roman" w:hint="eastAsia"/>
          <w:kern w:val="2"/>
          <w:sz w:val="32"/>
          <w:szCs w:val="22"/>
        </w:rPr>
        <w:t>）</w:t>
      </w:r>
    </w:p>
    <w:p w14:paraId="6D7EF1C5" w14:textId="77777777" w:rsidR="00A739F2" w:rsidRDefault="00597D48">
      <w:pPr>
        <w:keepNext/>
        <w:keepLines/>
        <w:spacing w:line="360" w:lineRule="auto"/>
        <w:ind w:rightChars="100" w:right="320"/>
        <w:outlineLvl w:val="2"/>
        <w:rPr>
          <w:rFonts w:cs="Times New Roman"/>
        </w:rPr>
      </w:pPr>
      <w:r>
        <w:rPr>
          <w:rFonts w:cs="Times New Roman" w:hint="eastAsia"/>
        </w:rPr>
        <w:lastRenderedPageBreak/>
        <w:t>4</w:t>
      </w:r>
      <w:r>
        <w:rPr>
          <w:rFonts w:cs="Times New Roman" w:hint="eastAsia"/>
        </w:rPr>
        <w:t>、</w:t>
      </w:r>
      <w:r>
        <w:rPr>
          <w:rFonts w:cs="Times New Roman"/>
          <w:bCs/>
          <w:szCs w:val="28"/>
        </w:rPr>
        <w:t>相关</w:t>
      </w:r>
      <w:r>
        <w:rPr>
          <w:rFonts w:cs="Times New Roman" w:hint="eastAsia"/>
          <w:bCs/>
          <w:szCs w:val="28"/>
        </w:rPr>
        <w:t>支持性政策</w:t>
      </w:r>
    </w:p>
    <w:p w14:paraId="3A0DFA1E" w14:textId="77777777" w:rsidR="00A739F2" w:rsidRDefault="00597D48">
      <w:pPr>
        <w:pStyle w:val="20"/>
        <w:ind w:firstLine="640"/>
        <w:rPr>
          <w:rFonts w:cs="Times New Roman"/>
          <w:kern w:val="2"/>
          <w:sz w:val="32"/>
          <w:szCs w:val="22"/>
        </w:rPr>
      </w:pPr>
      <w:r>
        <w:rPr>
          <w:rFonts w:cs="Times New Roman" w:hint="eastAsia"/>
          <w:kern w:val="2"/>
          <w:sz w:val="32"/>
          <w:szCs w:val="22"/>
        </w:rPr>
        <w:t>自治区根据自身情况，在</w:t>
      </w:r>
      <w:r>
        <w:rPr>
          <w:rFonts w:cs="Times New Roman" w:hint="eastAsia"/>
          <w:kern w:val="2"/>
          <w:sz w:val="32"/>
          <w:szCs w:val="22"/>
        </w:rPr>
        <w:t>2022</w:t>
      </w:r>
      <w:r>
        <w:rPr>
          <w:rFonts w:cs="Times New Roman" w:hint="eastAsia"/>
          <w:kern w:val="2"/>
          <w:sz w:val="32"/>
          <w:szCs w:val="22"/>
        </w:rPr>
        <w:t>年制定了《关于推动全区风电光伏新能源产业高质量发展的意见》和《工业园区绿色供电等</w:t>
      </w:r>
      <w:r>
        <w:rPr>
          <w:rFonts w:cs="Times New Roman" w:hint="eastAsia"/>
          <w:kern w:val="2"/>
          <w:sz w:val="32"/>
          <w:szCs w:val="22"/>
        </w:rPr>
        <w:t>6</w:t>
      </w:r>
      <w:r>
        <w:rPr>
          <w:rFonts w:cs="Times New Roman" w:hint="eastAsia"/>
          <w:kern w:val="2"/>
          <w:sz w:val="32"/>
          <w:szCs w:val="22"/>
        </w:rPr>
        <w:t>类市场化项目实施细则》，并在</w:t>
      </w:r>
      <w:r>
        <w:rPr>
          <w:rFonts w:cs="Times New Roman" w:hint="eastAsia"/>
          <w:kern w:val="2"/>
          <w:sz w:val="32"/>
          <w:szCs w:val="22"/>
        </w:rPr>
        <w:t>2023</w:t>
      </w:r>
      <w:r>
        <w:rPr>
          <w:rFonts w:cs="Times New Roman" w:hint="eastAsia"/>
          <w:kern w:val="2"/>
          <w:sz w:val="32"/>
          <w:szCs w:val="22"/>
        </w:rPr>
        <w:t>年对市场化项目实施细则进行了修订，有效促进了市场化并网新能源项目的开发建设。</w:t>
      </w:r>
      <w:r>
        <w:rPr>
          <w:rFonts w:cs="Times New Roman" w:hint="eastAsia"/>
          <w:kern w:val="2"/>
          <w:sz w:val="32"/>
          <w:szCs w:val="22"/>
        </w:rPr>
        <w:t>2023</w:t>
      </w:r>
      <w:r>
        <w:rPr>
          <w:rFonts w:cs="Times New Roman" w:hint="eastAsia"/>
          <w:kern w:val="2"/>
          <w:sz w:val="32"/>
          <w:szCs w:val="22"/>
        </w:rPr>
        <w:t>年</w:t>
      </w:r>
      <w:r>
        <w:rPr>
          <w:rFonts w:cs="Times New Roman" w:hint="eastAsia"/>
          <w:kern w:val="2"/>
          <w:sz w:val="32"/>
          <w:szCs w:val="22"/>
        </w:rPr>
        <w:t>10</w:t>
      </w:r>
      <w:r>
        <w:rPr>
          <w:rFonts w:cs="Times New Roman" w:hint="eastAsia"/>
          <w:kern w:val="2"/>
          <w:sz w:val="32"/>
          <w:szCs w:val="22"/>
        </w:rPr>
        <w:t>月，自治区政府办公厅印发《内蒙古自治区光伏治沙行动实施方案》，提出配合</w:t>
      </w:r>
      <w:proofErr w:type="gramStart"/>
      <w:r>
        <w:rPr>
          <w:rFonts w:cs="Times New Roman" w:hint="eastAsia"/>
          <w:kern w:val="2"/>
          <w:sz w:val="32"/>
          <w:szCs w:val="22"/>
        </w:rPr>
        <w:t>“三北”六期等</w:t>
      </w:r>
      <w:proofErr w:type="gramEnd"/>
      <w:r>
        <w:rPr>
          <w:rFonts w:cs="Times New Roman" w:hint="eastAsia"/>
          <w:kern w:val="2"/>
          <w:sz w:val="32"/>
          <w:szCs w:val="22"/>
        </w:rPr>
        <w:t>生态治理工程，实施全区沙漠、沙地光伏治沙规模化开发。</w:t>
      </w:r>
      <w:r>
        <w:rPr>
          <w:rFonts w:cs="Times New Roman" w:hint="eastAsia"/>
          <w:kern w:val="2"/>
          <w:sz w:val="32"/>
          <w:szCs w:val="22"/>
        </w:rPr>
        <w:t>2024</w:t>
      </w:r>
      <w:r>
        <w:rPr>
          <w:rFonts w:cs="Times New Roman" w:hint="eastAsia"/>
          <w:kern w:val="2"/>
          <w:sz w:val="32"/>
          <w:szCs w:val="22"/>
        </w:rPr>
        <w:t>年通过开展“千乡万村驭风行动”，进一步改善乡村居民生产生活条件，助力乡村振兴、</w:t>
      </w:r>
      <w:proofErr w:type="gramStart"/>
      <w:r>
        <w:rPr>
          <w:rFonts w:cs="Times New Roman" w:hint="eastAsia"/>
          <w:kern w:val="2"/>
          <w:sz w:val="32"/>
          <w:szCs w:val="22"/>
        </w:rPr>
        <w:t>促进稳边固边</w:t>
      </w:r>
      <w:proofErr w:type="gramEnd"/>
      <w:r>
        <w:rPr>
          <w:rFonts w:cs="Times New Roman" w:hint="eastAsia"/>
          <w:kern w:val="2"/>
          <w:sz w:val="32"/>
          <w:szCs w:val="22"/>
        </w:rPr>
        <w:t>。</w:t>
      </w:r>
    </w:p>
    <w:p w14:paraId="45412BF0" w14:textId="77777777" w:rsidR="00A739F2" w:rsidRDefault="00597D48">
      <w:pPr>
        <w:outlineLvl w:val="1"/>
        <w:rPr>
          <w:rFonts w:eastAsia="楷体" w:cs="楷体"/>
        </w:rPr>
      </w:pPr>
      <w:bookmarkStart w:id="40" w:name="_Toc7051"/>
      <w:bookmarkStart w:id="41" w:name="_Toc9483"/>
      <w:bookmarkStart w:id="42" w:name="_Toc16729"/>
      <w:bookmarkStart w:id="43" w:name="_Toc2281"/>
      <w:bookmarkStart w:id="44" w:name="_Toc7399"/>
      <w:bookmarkStart w:id="45" w:name="_Toc16794"/>
      <w:bookmarkStart w:id="46" w:name="_Toc3241"/>
      <w:r>
        <w:rPr>
          <w:rFonts w:eastAsia="楷体" w:cs="楷体" w:hint="eastAsia"/>
        </w:rPr>
        <w:t>（三）规划范围</w:t>
      </w:r>
      <w:bookmarkEnd w:id="40"/>
      <w:bookmarkEnd w:id="41"/>
      <w:bookmarkEnd w:id="42"/>
      <w:bookmarkEnd w:id="43"/>
      <w:bookmarkEnd w:id="44"/>
      <w:bookmarkEnd w:id="45"/>
      <w:bookmarkEnd w:id="46"/>
    </w:p>
    <w:p w14:paraId="703F6443" w14:textId="77777777" w:rsidR="00A739F2" w:rsidRDefault="00597D48">
      <w:r>
        <w:rPr>
          <w:rFonts w:hint="eastAsia"/>
        </w:rPr>
        <w:t>内蒙古自治区鄂尔多斯</w:t>
      </w:r>
      <w:r>
        <w:rPr>
          <w:rFonts w:hint="eastAsia"/>
        </w:rPr>
        <w:t>市康巴什区辖区内的新能源可开发总量。</w:t>
      </w:r>
    </w:p>
    <w:p w14:paraId="4AF64285" w14:textId="77777777" w:rsidR="00A739F2" w:rsidRDefault="00597D48">
      <w:pPr>
        <w:outlineLvl w:val="1"/>
        <w:rPr>
          <w:rFonts w:eastAsia="楷体" w:cs="楷体"/>
        </w:rPr>
      </w:pPr>
      <w:bookmarkStart w:id="47" w:name="_Toc18247"/>
      <w:bookmarkStart w:id="48" w:name="_Toc744"/>
      <w:bookmarkStart w:id="49" w:name="_Toc6105"/>
      <w:bookmarkStart w:id="50" w:name="_Toc23609"/>
      <w:bookmarkStart w:id="51" w:name="_Toc24967"/>
      <w:bookmarkStart w:id="52" w:name="_Toc9458"/>
      <w:bookmarkStart w:id="53" w:name="_Toc23246"/>
      <w:r>
        <w:rPr>
          <w:rFonts w:eastAsia="楷体" w:cs="楷体" w:hint="eastAsia"/>
        </w:rPr>
        <w:t>（四）规划期限</w:t>
      </w:r>
      <w:bookmarkEnd w:id="47"/>
      <w:bookmarkEnd w:id="48"/>
      <w:bookmarkEnd w:id="49"/>
      <w:bookmarkEnd w:id="50"/>
      <w:bookmarkEnd w:id="51"/>
      <w:bookmarkEnd w:id="52"/>
      <w:bookmarkEnd w:id="53"/>
    </w:p>
    <w:p w14:paraId="6462BC9C" w14:textId="77777777" w:rsidR="00A739F2" w:rsidRDefault="00597D48">
      <w:pPr>
        <w:pStyle w:val="a3"/>
        <w:widowControl/>
        <w:spacing w:line="360" w:lineRule="auto"/>
        <w:ind w:firstLineChars="200" w:firstLine="640"/>
        <w:rPr>
          <w:rFonts w:eastAsia="仿宋" w:cs="Times New Roman"/>
          <w:kern w:val="2"/>
          <w:sz w:val="32"/>
          <w:szCs w:val="22"/>
        </w:rPr>
      </w:pPr>
      <w:r>
        <w:rPr>
          <w:rFonts w:eastAsia="仿宋" w:cs="Times New Roman" w:hint="eastAsia"/>
          <w:kern w:val="2"/>
          <w:sz w:val="32"/>
          <w:szCs w:val="22"/>
        </w:rPr>
        <w:t>规划基准年为</w:t>
      </w:r>
      <w:r>
        <w:rPr>
          <w:rFonts w:eastAsia="仿宋" w:cs="Times New Roman" w:hint="eastAsia"/>
          <w:kern w:val="2"/>
          <w:sz w:val="32"/>
          <w:szCs w:val="22"/>
        </w:rPr>
        <w:t>2023</w:t>
      </w:r>
      <w:r>
        <w:rPr>
          <w:rFonts w:eastAsia="仿宋" w:cs="Times New Roman" w:hint="eastAsia"/>
          <w:kern w:val="2"/>
          <w:sz w:val="32"/>
          <w:szCs w:val="22"/>
        </w:rPr>
        <w:t>年，规划期限为</w:t>
      </w:r>
      <w:r>
        <w:rPr>
          <w:rFonts w:eastAsia="仿宋" w:cs="Times New Roman" w:hint="eastAsia"/>
          <w:kern w:val="2"/>
          <w:sz w:val="32"/>
          <w:szCs w:val="22"/>
        </w:rPr>
        <w:t>202</w:t>
      </w:r>
      <w:r>
        <w:rPr>
          <w:rFonts w:eastAsia="仿宋" w:cs="Times New Roman"/>
          <w:kern w:val="2"/>
          <w:sz w:val="32"/>
          <w:szCs w:val="22"/>
        </w:rPr>
        <w:t>4</w:t>
      </w:r>
      <w:r>
        <w:rPr>
          <w:rFonts w:eastAsia="仿宋" w:cs="Times New Roman" w:hint="eastAsia"/>
          <w:kern w:val="2"/>
          <w:sz w:val="32"/>
          <w:szCs w:val="22"/>
        </w:rPr>
        <w:t>年至</w:t>
      </w:r>
      <w:r>
        <w:rPr>
          <w:rFonts w:eastAsia="仿宋" w:cs="Times New Roman" w:hint="eastAsia"/>
          <w:kern w:val="2"/>
          <w:sz w:val="32"/>
          <w:szCs w:val="22"/>
        </w:rPr>
        <w:t>2027</w:t>
      </w:r>
      <w:r>
        <w:rPr>
          <w:rFonts w:eastAsia="仿宋" w:cs="Times New Roman" w:hint="eastAsia"/>
          <w:kern w:val="2"/>
          <w:sz w:val="32"/>
          <w:szCs w:val="22"/>
        </w:rPr>
        <w:t>年，</w:t>
      </w:r>
      <w:r>
        <w:rPr>
          <w:rFonts w:eastAsia="仿宋_GB2312" w:cs="Times New Roman"/>
          <w:sz w:val="32"/>
          <w:szCs w:val="32"/>
        </w:rPr>
        <w:t>展望到</w:t>
      </w:r>
      <w:r>
        <w:rPr>
          <w:rFonts w:eastAsia="仿宋_GB2312" w:cs="Times New Roman"/>
          <w:sz w:val="32"/>
          <w:szCs w:val="32"/>
        </w:rPr>
        <w:t>203</w:t>
      </w:r>
      <w:r>
        <w:rPr>
          <w:rFonts w:eastAsia="仿宋_GB2312" w:cs="Times New Roman" w:hint="eastAsia"/>
          <w:sz w:val="32"/>
          <w:szCs w:val="32"/>
        </w:rPr>
        <w:t>5</w:t>
      </w:r>
      <w:r>
        <w:rPr>
          <w:rFonts w:eastAsia="仿宋_GB2312" w:cs="Times New Roman"/>
          <w:sz w:val="32"/>
          <w:szCs w:val="32"/>
        </w:rPr>
        <w:t>年。</w:t>
      </w:r>
    </w:p>
    <w:p w14:paraId="3AEA93C6" w14:textId="77777777" w:rsidR="00A739F2" w:rsidRDefault="00597D48">
      <w:pPr>
        <w:keepNext/>
        <w:widowControl/>
        <w:kinsoku w:val="0"/>
        <w:autoSpaceDE w:val="0"/>
        <w:autoSpaceDN w:val="0"/>
        <w:adjustRightInd w:val="0"/>
        <w:spacing w:before="100" w:line="360" w:lineRule="auto"/>
        <w:ind w:left="601" w:firstLineChars="0" w:firstLine="0"/>
        <w:jc w:val="left"/>
        <w:textAlignment w:val="baseline"/>
        <w:outlineLvl w:val="0"/>
        <w:rPr>
          <w:rFonts w:eastAsia="黑体" w:cs="黑体"/>
          <w:snapToGrid w:val="0"/>
          <w:color w:val="000000"/>
          <w:spacing w:val="-2"/>
          <w:kern w:val="0"/>
          <w:szCs w:val="32"/>
        </w:rPr>
      </w:pPr>
      <w:bookmarkStart w:id="54" w:name="_Toc10673"/>
      <w:bookmarkStart w:id="55" w:name="_Toc20313"/>
      <w:bookmarkStart w:id="56" w:name="_Toc23304"/>
      <w:bookmarkStart w:id="57" w:name="_Toc16547"/>
      <w:bookmarkStart w:id="58" w:name="_Toc27284"/>
      <w:bookmarkStart w:id="59" w:name="_Toc15960"/>
      <w:bookmarkStart w:id="60" w:name="_Toc4287"/>
      <w:bookmarkStart w:id="61" w:name="_Toc17661"/>
      <w:r>
        <w:rPr>
          <w:rFonts w:eastAsia="黑体" w:cs="黑体" w:hint="eastAsia"/>
          <w:snapToGrid w:val="0"/>
          <w:color w:val="000000"/>
          <w:spacing w:val="-2"/>
          <w:kern w:val="0"/>
          <w:szCs w:val="32"/>
        </w:rPr>
        <w:t>二、指导方针和发展目标</w:t>
      </w:r>
      <w:bookmarkEnd w:id="54"/>
      <w:bookmarkEnd w:id="55"/>
      <w:bookmarkEnd w:id="56"/>
      <w:bookmarkEnd w:id="57"/>
      <w:bookmarkEnd w:id="58"/>
      <w:bookmarkEnd w:id="59"/>
      <w:bookmarkEnd w:id="60"/>
      <w:bookmarkEnd w:id="61"/>
    </w:p>
    <w:p w14:paraId="5433EA5F" w14:textId="77777777" w:rsidR="00A739F2" w:rsidRDefault="00597D48">
      <w:pPr>
        <w:outlineLvl w:val="1"/>
        <w:rPr>
          <w:rFonts w:eastAsia="楷体" w:cs="楷体"/>
        </w:rPr>
      </w:pPr>
      <w:bookmarkStart w:id="62" w:name="_Toc16728"/>
      <w:bookmarkStart w:id="63" w:name="_Toc9559"/>
      <w:bookmarkStart w:id="64" w:name="_Toc26302"/>
      <w:bookmarkStart w:id="65" w:name="_Toc1239"/>
      <w:bookmarkStart w:id="66" w:name="_Toc21857"/>
      <w:bookmarkStart w:id="67" w:name="_Toc21360"/>
      <w:bookmarkStart w:id="68" w:name="_Toc7238"/>
      <w:r>
        <w:rPr>
          <w:rFonts w:eastAsia="楷体" w:cs="楷体" w:hint="eastAsia"/>
        </w:rPr>
        <w:t>（一）指导思想</w:t>
      </w:r>
      <w:bookmarkEnd w:id="62"/>
      <w:bookmarkEnd w:id="63"/>
      <w:bookmarkEnd w:id="64"/>
      <w:bookmarkEnd w:id="65"/>
      <w:bookmarkEnd w:id="66"/>
      <w:bookmarkEnd w:id="67"/>
      <w:bookmarkEnd w:id="68"/>
    </w:p>
    <w:p w14:paraId="66B31760" w14:textId="77777777" w:rsidR="00A739F2" w:rsidRDefault="00597D48">
      <w:pPr>
        <w:spacing w:line="360" w:lineRule="auto"/>
        <w:rPr>
          <w:rFonts w:eastAsia="方正楷体_GBK" w:cs="Times New Roman"/>
        </w:rPr>
      </w:pPr>
      <w:bookmarkStart w:id="69" w:name="bookmark7"/>
      <w:bookmarkEnd w:id="69"/>
      <w:r>
        <w:rPr>
          <w:rFonts w:hint="eastAsia"/>
        </w:rPr>
        <w:t>以习近平新时代中</w:t>
      </w:r>
      <w:r>
        <w:rPr>
          <w:rFonts w:cs="仿宋_GB2312" w:hint="eastAsia"/>
        </w:rPr>
        <w:t>国</w:t>
      </w:r>
      <w:r>
        <w:rPr>
          <w:rFonts w:hint="eastAsia"/>
        </w:rPr>
        <w:t>特色社会</w:t>
      </w:r>
      <w:r>
        <w:rPr>
          <w:rFonts w:cs="仿宋_GB2312" w:hint="eastAsia"/>
        </w:rPr>
        <w:t>主</w:t>
      </w:r>
      <w:r>
        <w:rPr>
          <w:rFonts w:hint="eastAsia"/>
        </w:rPr>
        <w:t>义</w:t>
      </w:r>
      <w:r>
        <w:rPr>
          <w:rFonts w:cs="仿宋_GB2312" w:hint="eastAsia"/>
        </w:rPr>
        <w:t>思想</w:t>
      </w:r>
      <w:r>
        <w:rPr>
          <w:rFonts w:hint="eastAsia"/>
        </w:rPr>
        <w:t>为</w:t>
      </w:r>
      <w:r>
        <w:rPr>
          <w:rFonts w:cs="仿宋_GB2312" w:hint="eastAsia"/>
        </w:rPr>
        <w:t>指导，</w:t>
      </w:r>
      <w:r>
        <w:rPr>
          <w:rFonts w:hint="eastAsia"/>
        </w:rPr>
        <w:t>深入贯彻</w:t>
      </w:r>
      <w:r>
        <w:rPr>
          <w:rFonts w:cs="方正仿宋_GB2312" w:hint="eastAsia"/>
        </w:rPr>
        <w:t>党的二十大精神，全面落</w:t>
      </w:r>
      <w:proofErr w:type="gramStart"/>
      <w:r>
        <w:rPr>
          <w:rFonts w:cs="方正仿宋_GB2312" w:hint="eastAsia"/>
        </w:rPr>
        <w:t>实习近</w:t>
      </w:r>
      <w:proofErr w:type="gramEnd"/>
      <w:r>
        <w:rPr>
          <w:rFonts w:cs="方正仿宋_GB2312" w:hint="eastAsia"/>
        </w:rPr>
        <w:t>平总书记关于内蒙古的重要指</w:t>
      </w:r>
      <w:r>
        <w:rPr>
          <w:rFonts w:cs="方正仿宋_GB2312" w:hint="eastAsia"/>
        </w:rPr>
        <w:lastRenderedPageBreak/>
        <w:t>示批示精神，围绕“碳达峰、碳中和”目标，</w:t>
      </w:r>
      <w:r>
        <w:rPr>
          <w:rFonts w:hint="eastAsia"/>
        </w:rPr>
        <w:t>遵循“四个革命、</w:t>
      </w:r>
      <w:r>
        <w:rPr>
          <w:rFonts w:cs="仿宋_GB2312" w:hint="eastAsia"/>
        </w:rPr>
        <w:t>一</w:t>
      </w:r>
      <w:r>
        <w:rPr>
          <w:rFonts w:hint="eastAsia"/>
        </w:rPr>
        <w:t>个合作”能</w:t>
      </w:r>
      <w:r>
        <w:rPr>
          <w:rFonts w:cs="仿宋_GB2312" w:hint="eastAsia"/>
        </w:rPr>
        <w:t>源</w:t>
      </w:r>
      <w:r>
        <w:rPr>
          <w:rFonts w:hint="eastAsia"/>
        </w:rPr>
        <w:t>安全新战略</w:t>
      </w:r>
      <w:r>
        <w:rPr>
          <w:rFonts w:cs="仿宋_GB2312" w:hint="eastAsia"/>
        </w:rPr>
        <w:t>和“节约、清洁、安全”的能源发展总方针，</w:t>
      </w:r>
      <w:r>
        <w:rPr>
          <w:rFonts w:hint="eastAsia"/>
        </w:rPr>
        <w:t>把握新</w:t>
      </w:r>
      <w:r>
        <w:rPr>
          <w:rFonts w:cs="仿宋_GB2312" w:hint="eastAsia"/>
        </w:rPr>
        <w:t>发展</w:t>
      </w:r>
      <w:r>
        <w:rPr>
          <w:rFonts w:hint="eastAsia"/>
        </w:rPr>
        <w:t>阶段、贯彻新</w:t>
      </w:r>
      <w:r>
        <w:rPr>
          <w:rFonts w:cs="仿宋_GB2312" w:hint="eastAsia"/>
        </w:rPr>
        <w:t>发展</w:t>
      </w:r>
      <w:r>
        <w:rPr>
          <w:rFonts w:hint="eastAsia"/>
        </w:rPr>
        <w:t>理念、融入新</w:t>
      </w:r>
      <w:r>
        <w:rPr>
          <w:rFonts w:cs="仿宋_GB2312" w:hint="eastAsia"/>
        </w:rPr>
        <w:t>发展</w:t>
      </w:r>
      <w:r>
        <w:rPr>
          <w:rFonts w:hint="eastAsia"/>
        </w:rPr>
        <w:t>格局</w:t>
      </w:r>
      <w:r>
        <w:rPr>
          <w:rFonts w:cs="仿宋_GB2312" w:hint="eastAsia"/>
        </w:rPr>
        <w:t>，</w:t>
      </w:r>
      <w:r>
        <w:rPr>
          <w:rFonts w:hint="eastAsia"/>
        </w:rPr>
        <w:t>坚</w:t>
      </w:r>
      <w:r>
        <w:rPr>
          <w:rFonts w:cs="仿宋_GB2312" w:hint="eastAsia"/>
        </w:rPr>
        <w:t>持</w:t>
      </w:r>
      <w:r>
        <w:rPr>
          <w:rFonts w:hint="eastAsia"/>
        </w:rPr>
        <w:t>稳中求进工作总</w:t>
      </w:r>
      <w:r>
        <w:rPr>
          <w:rFonts w:cs="仿宋_GB2312" w:hint="eastAsia"/>
        </w:rPr>
        <w:t>基调，</w:t>
      </w:r>
      <w:r>
        <w:rPr>
          <w:rFonts w:hint="eastAsia"/>
        </w:rPr>
        <w:t>立足以煤为</w:t>
      </w:r>
      <w:r>
        <w:rPr>
          <w:rFonts w:cs="仿宋_GB2312" w:hint="eastAsia"/>
        </w:rPr>
        <w:t>主</w:t>
      </w:r>
      <w:r>
        <w:rPr>
          <w:rFonts w:hint="eastAsia"/>
        </w:rPr>
        <w:t>的</w:t>
      </w:r>
      <w:r>
        <w:rPr>
          <w:rFonts w:cs="仿宋_GB2312" w:hint="eastAsia"/>
        </w:rPr>
        <w:t>基本国</w:t>
      </w:r>
      <w:r>
        <w:rPr>
          <w:rFonts w:hint="eastAsia"/>
        </w:rPr>
        <w:t>情</w:t>
      </w:r>
      <w:r>
        <w:rPr>
          <w:rFonts w:cs="仿宋_GB2312" w:hint="eastAsia"/>
        </w:rPr>
        <w:t>，</w:t>
      </w:r>
      <w:r>
        <w:rPr>
          <w:rFonts w:hint="eastAsia"/>
        </w:rPr>
        <w:t>坚</w:t>
      </w:r>
      <w:r>
        <w:rPr>
          <w:rFonts w:cs="仿宋_GB2312" w:hint="eastAsia"/>
        </w:rPr>
        <w:t>持发展</w:t>
      </w:r>
      <w:r>
        <w:rPr>
          <w:rFonts w:hint="eastAsia"/>
        </w:rPr>
        <w:t>和安全并</w:t>
      </w:r>
      <w:r>
        <w:rPr>
          <w:rFonts w:cs="仿宋_GB2312" w:hint="eastAsia"/>
        </w:rPr>
        <w:t>重，</w:t>
      </w:r>
      <w:r>
        <w:rPr>
          <w:rFonts w:hint="eastAsia"/>
        </w:rPr>
        <w:t>坚</w:t>
      </w:r>
      <w:r>
        <w:rPr>
          <w:rFonts w:cs="仿宋_GB2312" w:hint="eastAsia"/>
        </w:rPr>
        <w:t>持</w:t>
      </w:r>
      <w:r>
        <w:rPr>
          <w:rFonts w:hint="eastAsia"/>
        </w:rPr>
        <w:t>风光氢储煤电油气并举、</w:t>
      </w:r>
      <w:proofErr w:type="gramStart"/>
      <w:r>
        <w:rPr>
          <w:rFonts w:hint="eastAsia"/>
        </w:rPr>
        <w:t>延链补链融链</w:t>
      </w:r>
      <w:r>
        <w:rPr>
          <w:rFonts w:cs="仿宋_GB2312" w:hint="eastAsia"/>
        </w:rPr>
        <w:t>强</w:t>
      </w:r>
      <w:r>
        <w:rPr>
          <w:rFonts w:hint="eastAsia"/>
        </w:rPr>
        <w:t>链</w:t>
      </w:r>
      <w:proofErr w:type="gramEnd"/>
      <w:r>
        <w:rPr>
          <w:rFonts w:hint="eastAsia"/>
        </w:rPr>
        <w:t>并进、提质增效</w:t>
      </w:r>
      <w:proofErr w:type="gramStart"/>
      <w:r>
        <w:rPr>
          <w:rFonts w:hint="eastAsia"/>
        </w:rPr>
        <w:t>节能降碳并行</w:t>
      </w:r>
      <w:proofErr w:type="gramEnd"/>
      <w:r>
        <w:rPr>
          <w:rFonts w:cs="仿宋_GB2312" w:hint="eastAsia"/>
        </w:rPr>
        <w:t>，</w:t>
      </w:r>
      <w:r>
        <w:rPr>
          <w:rFonts w:hint="eastAsia"/>
        </w:rPr>
        <w:t>加快</w:t>
      </w:r>
      <w:r>
        <w:rPr>
          <w:rFonts w:cs="仿宋_GB2312" w:hint="eastAsia"/>
        </w:rPr>
        <w:t>建设</w:t>
      </w:r>
      <w:r>
        <w:rPr>
          <w:rFonts w:hint="eastAsia"/>
        </w:rPr>
        <w:t>“探索以生态优先、绿色</w:t>
      </w:r>
      <w:r>
        <w:rPr>
          <w:rFonts w:cs="仿宋_GB2312" w:hint="eastAsia"/>
        </w:rPr>
        <w:t>发展</w:t>
      </w:r>
      <w:r>
        <w:rPr>
          <w:rFonts w:hint="eastAsia"/>
        </w:rPr>
        <w:t>为</w:t>
      </w:r>
      <w:r>
        <w:rPr>
          <w:rFonts w:cs="仿宋_GB2312" w:hint="eastAsia"/>
        </w:rPr>
        <w:t>导</w:t>
      </w:r>
      <w:r>
        <w:rPr>
          <w:rFonts w:hint="eastAsia"/>
        </w:rPr>
        <w:t>向的高质量</w:t>
      </w:r>
      <w:r>
        <w:rPr>
          <w:rFonts w:cs="仿宋_GB2312" w:hint="eastAsia"/>
        </w:rPr>
        <w:t>发展</w:t>
      </w:r>
      <w:r>
        <w:rPr>
          <w:rFonts w:hint="eastAsia"/>
        </w:rPr>
        <w:t>新路子”先行区和黄河流域生态</w:t>
      </w:r>
      <w:r>
        <w:rPr>
          <w:rFonts w:cs="仿宋_GB2312" w:hint="eastAsia"/>
        </w:rPr>
        <w:t>保</w:t>
      </w:r>
      <w:r>
        <w:rPr>
          <w:rFonts w:hint="eastAsia"/>
        </w:rPr>
        <w:t>护和高质量</w:t>
      </w:r>
      <w:r>
        <w:rPr>
          <w:rFonts w:cs="仿宋_GB2312" w:hint="eastAsia"/>
        </w:rPr>
        <w:t>发展</w:t>
      </w:r>
      <w:r>
        <w:rPr>
          <w:rFonts w:hint="eastAsia"/>
        </w:rPr>
        <w:t>先行区</w:t>
      </w:r>
      <w:r>
        <w:rPr>
          <w:rFonts w:cs="仿宋_GB2312" w:hint="eastAsia"/>
        </w:rPr>
        <w:t>，</w:t>
      </w:r>
      <w:r>
        <w:rPr>
          <w:rFonts w:hint="eastAsia"/>
        </w:rPr>
        <w:t>加快</w:t>
      </w:r>
      <w:r>
        <w:rPr>
          <w:rFonts w:cs="仿宋_GB2312" w:hint="eastAsia"/>
        </w:rPr>
        <w:t>建设</w:t>
      </w:r>
      <w:r>
        <w:rPr>
          <w:rFonts w:hint="eastAsia"/>
        </w:rPr>
        <w:t>现代能</w:t>
      </w:r>
      <w:r>
        <w:rPr>
          <w:rFonts w:cs="仿宋_GB2312" w:hint="eastAsia"/>
        </w:rPr>
        <w:t>源</w:t>
      </w:r>
      <w:r>
        <w:rPr>
          <w:rFonts w:hint="eastAsia"/>
        </w:rPr>
        <w:t>产业</w:t>
      </w:r>
      <w:r>
        <w:rPr>
          <w:rFonts w:cs="仿宋_GB2312" w:hint="eastAsia"/>
        </w:rPr>
        <w:t>基地，</w:t>
      </w:r>
      <w:r>
        <w:rPr>
          <w:rFonts w:hint="eastAsia"/>
        </w:rPr>
        <w:t>努力构</w:t>
      </w:r>
      <w:r>
        <w:rPr>
          <w:rFonts w:cs="仿宋_GB2312" w:hint="eastAsia"/>
        </w:rPr>
        <w:t>建</w:t>
      </w:r>
      <w:r>
        <w:rPr>
          <w:rFonts w:hint="eastAsia"/>
        </w:rPr>
        <w:t>现代能</w:t>
      </w:r>
      <w:r>
        <w:rPr>
          <w:rFonts w:cs="仿宋_GB2312" w:hint="eastAsia"/>
        </w:rPr>
        <w:t>源体</w:t>
      </w:r>
      <w:r>
        <w:rPr>
          <w:rFonts w:hint="eastAsia"/>
        </w:rPr>
        <w:t>系</w:t>
      </w:r>
      <w:r>
        <w:rPr>
          <w:rFonts w:cs="仿宋_GB2312" w:hint="eastAsia"/>
        </w:rPr>
        <w:t>，</w:t>
      </w:r>
      <w:r>
        <w:rPr>
          <w:rFonts w:hint="eastAsia"/>
        </w:rPr>
        <w:t>率先</w:t>
      </w:r>
      <w:r>
        <w:rPr>
          <w:rFonts w:cs="仿宋_GB2312" w:hint="eastAsia"/>
        </w:rPr>
        <w:t>建</w:t>
      </w:r>
      <w:r>
        <w:rPr>
          <w:rFonts w:hint="eastAsia"/>
        </w:rPr>
        <w:t>成以新能</w:t>
      </w:r>
      <w:r>
        <w:rPr>
          <w:rFonts w:cs="仿宋_GB2312" w:hint="eastAsia"/>
        </w:rPr>
        <w:t>源</w:t>
      </w:r>
      <w:r>
        <w:rPr>
          <w:rFonts w:hint="eastAsia"/>
        </w:rPr>
        <w:t>为</w:t>
      </w:r>
      <w:r>
        <w:rPr>
          <w:rFonts w:cs="仿宋_GB2312" w:hint="eastAsia"/>
        </w:rPr>
        <w:t>主体</w:t>
      </w:r>
      <w:r>
        <w:rPr>
          <w:rFonts w:hint="eastAsia"/>
        </w:rPr>
        <w:t>的能</w:t>
      </w:r>
      <w:r>
        <w:rPr>
          <w:rFonts w:cs="仿宋_GB2312" w:hint="eastAsia"/>
        </w:rPr>
        <w:t>源</w:t>
      </w:r>
      <w:r>
        <w:rPr>
          <w:rFonts w:hint="eastAsia"/>
        </w:rPr>
        <w:t>供给</w:t>
      </w:r>
      <w:r>
        <w:rPr>
          <w:rFonts w:cs="仿宋_GB2312" w:hint="eastAsia"/>
        </w:rPr>
        <w:t>体</w:t>
      </w:r>
      <w:r>
        <w:rPr>
          <w:rFonts w:hint="eastAsia"/>
        </w:rPr>
        <w:t>系和新型电力系</w:t>
      </w:r>
      <w:r>
        <w:rPr>
          <w:rFonts w:cs="仿宋_GB2312" w:hint="eastAsia"/>
        </w:rPr>
        <w:t>统</w:t>
      </w:r>
      <w:r>
        <w:rPr>
          <w:rFonts w:hint="eastAsia"/>
        </w:rPr>
        <w:t>。</w:t>
      </w:r>
      <w:r>
        <w:rPr>
          <w:rFonts w:cs="仿宋_GB2312" w:hint="eastAsia"/>
        </w:rPr>
        <w:t>紧跟自治区“两个屏障”“两个基地”“一个桥头堡”五大任务目标，认真落实自治区“两个率先、两个超过”能源发展目标和鄂尔多斯市“走好新路子，建设先行区”行动指南，锚定“三个四”目标任务，</w:t>
      </w:r>
      <w:r>
        <w:rPr>
          <w:rFonts w:hint="eastAsia"/>
        </w:rPr>
        <w:t>着力把康巴什区打造成为全国城市绿色低碳发展的先行</w:t>
      </w:r>
      <w:r>
        <w:rPr>
          <w:rFonts w:cs="仿宋_GB2312" w:hint="eastAsia"/>
        </w:rPr>
        <w:t>示范区</w:t>
      </w:r>
      <w:r>
        <w:rPr>
          <w:rFonts w:eastAsia="宋体" w:hint="eastAsia"/>
        </w:rPr>
        <w:t>。</w:t>
      </w:r>
    </w:p>
    <w:p w14:paraId="7F94A80B" w14:textId="77777777" w:rsidR="00A739F2" w:rsidRDefault="00597D48">
      <w:pPr>
        <w:outlineLvl w:val="1"/>
        <w:rPr>
          <w:rFonts w:eastAsia="楷体" w:cs="楷体"/>
        </w:rPr>
      </w:pPr>
      <w:bookmarkStart w:id="70" w:name="_Toc16639"/>
      <w:bookmarkStart w:id="71" w:name="_Toc11608"/>
      <w:bookmarkStart w:id="72" w:name="_Toc10748"/>
      <w:bookmarkStart w:id="73" w:name="_Toc17124"/>
      <w:bookmarkStart w:id="74" w:name="_Toc31833"/>
      <w:bookmarkStart w:id="75" w:name="_Toc5865"/>
      <w:bookmarkStart w:id="76" w:name="_Toc10952"/>
      <w:r>
        <w:rPr>
          <w:rFonts w:eastAsia="楷体" w:cs="楷体" w:hint="eastAsia"/>
        </w:rPr>
        <w:t>（二）基本原则</w:t>
      </w:r>
      <w:bookmarkEnd w:id="70"/>
      <w:bookmarkEnd w:id="71"/>
      <w:bookmarkEnd w:id="72"/>
      <w:bookmarkEnd w:id="73"/>
      <w:bookmarkEnd w:id="74"/>
      <w:bookmarkEnd w:id="75"/>
      <w:bookmarkEnd w:id="76"/>
    </w:p>
    <w:p w14:paraId="04FFBCF7" w14:textId="77777777" w:rsidR="00A739F2" w:rsidRDefault="00597D48">
      <w:pPr>
        <w:spacing w:line="360" w:lineRule="auto"/>
      </w:pPr>
      <w:r>
        <w:rPr>
          <w:rFonts w:hint="eastAsia"/>
        </w:rPr>
        <w:t>因地制宜，有序推进。统筹利用城镇开发空间以外集中连片、资源富集、便于消纳的区域发展集中式新能源，在城区内利用建筑屋顶立面、结合城市基础设施等发展分布式新能源。因地制宜发展“光伏</w:t>
      </w:r>
      <w:r>
        <w:rPr>
          <w:rFonts w:hint="eastAsia"/>
        </w:rPr>
        <w:t>+</w:t>
      </w:r>
      <w:r>
        <w:rPr>
          <w:rFonts w:hint="eastAsia"/>
        </w:rPr>
        <w:t>”综合利用模式，推动光伏治沙、林光互补等一系列项目落地实施，结合康巴什区节能</w:t>
      </w:r>
      <w:proofErr w:type="gramStart"/>
      <w:r>
        <w:rPr>
          <w:rFonts w:hint="eastAsia"/>
        </w:rPr>
        <w:t>降</w:t>
      </w:r>
      <w:r>
        <w:rPr>
          <w:rFonts w:hint="eastAsia"/>
        </w:rPr>
        <w:t>碳目标</w:t>
      </w:r>
      <w:proofErr w:type="gramEnd"/>
      <w:r>
        <w:rPr>
          <w:rFonts w:hint="eastAsia"/>
        </w:rPr>
        <w:t>有序</w:t>
      </w:r>
      <w:r>
        <w:rPr>
          <w:rFonts w:hint="eastAsia"/>
        </w:rPr>
        <w:lastRenderedPageBreak/>
        <w:t>推进新能源发展建设。</w:t>
      </w:r>
    </w:p>
    <w:p w14:paraId="6200F2B8" w14:textId="77777777" w:rsidR="00A739F2" w:rsidRDefault="00597D48">
      <w:pPr>
        <w:spacing w:line="360" w:lineRule="auto"/>
      </w:pPr>
      <w:r>
        <w:rPr>
          <w:rFonts w:hint="eastAsia"/>
        </w:rPr>
        <w:t>统筹布局，耦合联动。统筹风电、光伏、氢能、储能、清洁供暖、地热利用、绿色交通等多种要素，实现不同能源形式间的耦合联动，提高系统效率和柔性调节能力。</w:t>
      </w:r>
    </w:p>
    <w:p w14:paraId="596C7660" w14:textId="77777777" w:rsidR="00A739F2" w:rsidRDefault="00597D48">
      <w:pPr>
        <w:spacing w:line="360" w:lineRule="auto"/>
      </w:pPr>
      <w:r>
        <w:rPr>
          <w:rFonts w:hint="eastAsia"/>
        </w:rPr>
        <w:t>锚</w:t>
      </w:r>
      <w:proofErr w:type="gramStart"/>
      <w:r>
        <w:rPr>
          <w:rFonts w:hint="eastAsia"/>
        </w:rPr>
        <w:t>定城市</w:t>
      </w:r>
      <w:proofErr w:type="gramEnd"/>
      <w:r>
        <w:rPr>
          <w:rFonts w:hint="eastAsia"/>
        </w:rPr>
        <w:t>定位。康巴什区是鄂尔多斯市的政治文化中心和花园式生态宜居城市，宜优先发展以本地节能</w:t>
      </w:r>
      <w:proofErr w:type="gramStart"/>
      <w:r>
        <w:rPr>
          <w:rFonts w:hint="eastAsia"/>
        </w:rPr>
        <w:t>降碳为</w:t>
      </w:r>
      <w:proofErr w:type="gramEnd"/>
      <w:r>
        <w:rPr>
          <w:rFonts w:hint="eastAsia"/>
        </w:rPr>
        <w:t>目标的先进示范项目以及以自发自用为主的小型新能源项目，</w:t>
      </w:r>
      <w:proofErr w:type="gramStart"/>
      <w:r>
        <w:rPr>
          <w:rFonts w:hint="eastAsia"/>
        </w:rPr>
        <w:t>待建成</w:t>
      </w:r>
      <w:proofErr w:type="gramEnd"/>
      <w:r>
        <w:rPr>
          <w:rFonts w:hint="eastAsia"/>
        </w:rPr>
        <w:t>项目对城市发展、生态环境等方面的影响进行有效评估后，再发展大规模集中式项目。</w:t>
      </w:r>
    </w:p>
    <w:p w14:paraId="3106328B" w14:textId="77777777" w:rsidR="00A739F2" w:rsidRDefault="00597D48">
      <w:pPr>
        <w:spacing w:line="360" w:lineRule="auto"/>
      </w:pPr>
      <w:r>
        <w:rPr>
          <w:rFonts w:hint="eastAsia"/>
        </w:rPr>
        <w:t>坚持生态优先。</w:t>
      </w:r>
      <w:proofErr w:type="gramStart"/>
      <w:r>
        <w:rPr>
          <w:rFonts w:hint="eastAsia"/>
        </w:rPr>
        <w:t>践行</w:t>
      </w:r>
      <w:proofErr w:type="gramEnd"/>
      <w:r>
        <w:rPr>
          <w:rFonts w:hint="eastAsia"/>
        </w:rPr>
        <w:t>绿水青山就是金山银山的发展理念，把生态环境保护摆到更加突出的位置，贯穿到可再生能</w:t>
      </w:r>
      <w:r>
        <w:rPr>
          <w:rFonts w:hint="eastAsia"/>
        </w:rPr>
        <w:t>源规划建设全过程，积极响应自治区光伏治沙行动方案，坚持“先修复、后开发”，充分发挥可再生能源的生态环境效益和生态治理效益，推动可再生能源开发利用与生态环境保护协调发展、相得益彰。</w:t>
      </w:r>
    </w:p>
    <w:p w14:paraId="55CDC707" w14:textId="77777777" w:rsidR="00A739F2" w:rsidRDefault="00597D48">
      <w:pPr>
        <w:spacing w:line="360" w:lineRule="auto"/>
      </w:pPr>
      <w:r>
        <w:rPr>
          <w:rFonts w:hint="eastAsia"/>
        </w:rPr>
        <w:t>坚持协同融合。加强可再生能源与国土、环保、水利、财税、金融等政策协同，形成促进新时代可再生能源高质量发展的强大合力，推动可再生能源与新兴技术、新型城镇化、新基建等深度融合，不断拓展可再生能源发展新领域、新场景。统筹乡村新能源发展与乡村集体经济，通过集体土地作价入股、</w:t>
      </w:r>
      <w:r>
        <w:rPr>
          <w:rFonts w:hint="eastAsia"/>
        </w:rPr>
        <w:lastRenderedPageBreak/>
        <w:t>收益共享等机制，培育乡村能源合作社等新型集体经济模式，推动城乡居民</w:t>
      </w:r>
      <w:r>
        <w:rPr>
          <w:rFonts w:hint="eastAsia"/>
        </w:rPr>
        <w:t>共同富裕。</w:t>
      </w:r>
    </w:p>
    <w:p w14:paraId="52592ACA" w14:textId="77777777" w:rsidR="00A739F2" w:rsidRDefault="00597D48">
      <w:pPr>
        <w:outlineLvl w:val="1"/>
        <w:rPr>
          <w:rFonts w:eastAsia="楷体" w:cs="楷体"/>
        </w:rPr>
      </w:pPr>
      <w:bookmarkStart w:id="77" w:name="bookmark8"/>
      <w:bookmarkStart w:id="78" w:name="_Toc818"/>
      <w:bookmarkStart w:id="79" w:name="_Toc16298"/>
      <w:bookmarkStart w:id="80" w:name="_Toc2963"/>
      <w:bookmarkStart w:id="81" w:name="_Toc20001"/>
      <w:bookmarkStart w:id="82" w:name="_Toc24648"/>
      <w:bookmarkStart w:id="83" w:name="_Toc23530"/>
      <w:bookmarkStart w:id="84" w:name="_Toc19535"/>
      <w:bookmarkEnd w:id="77"/>
      <w:r>
        <w:rPr>
          <w:rFonts w:eastAsia="楷体" w:cs="楷体" w:hint="eastAsia"/>
        </w:rPr>
        <w:t>（三）发展目标</w:t>
      </w:r>
      <w:bookmarkEnd w:id="78"/>
      <w:bookmarkEnd w:id="79"/>
      <w:bookmarkEnd w:id="80"/>
      <w:bookmarkEnd w:id="81"/>
      <w:bookmarkEnd w:id="82"/>
      <w:bookmarkEnd w:id="83"/>
      <w:bookmarkEnd w:id="84"/>
    </w:p>
    <w:p w14:paraId="41CB59A7" w14:textId="77777777" w:rsidR="00A739F2" w:rsidRDefault="00597D48">
      <w:pPr>
        <w:spacing w:line="360" w:lineRule="auto"/>
      </w:pPr>
      <w:r>
        <w:rPr>
          <w:rFonts w:hint="eastAsia"/>
        </w:rPr>
        <w:t>近期目标：到</w:t>
      </w:r>
      <w:r>
        <w:rPr>
          <w:rFonts w:hint="eastAsia"/>
        </w:rPr>
        <w:t>2027</w:t>
      </w:r>
      <w:r>
        <w:rPr>
          <w:rFonts w:hint="eastAsia"/>
        </w:rPr>
        <w:t>年，康巴什区全区新增新能源装机</w:t>
      </w:r>
      <w:r>
        <w:rPr>
          <w:rFonts w:hint="eastAsia"/>
        </w:rPr>
        <w:t>100</w:t>
      </w:r>
      <w:r>
        <w:rPr>
          <w:rFonts w:hint="eastAsia"/>
        </w:rPr>
        <w:t>万千瓦，其中集中式</w:t>
      </w:r>
      <w:r>
        <w:rPr>
          <w:rFonts w:hint="eastAsia"/>
        </w:rPr>
        <w:t>90</w:t>
      </w:r>
      <w:r>
        <w:rPr>
          <w:rFonts w:hint="eastAsia"/>
        </w:rPr>
        <w:t>万千瓦，分布式</w:t>
      </w:r>
      <w:r>
        <w:rPr>
          <w:rFonts w:hint="eastAsia"/>
        </w:rPr>
        <w:t>10</w:t>
      </w:r>
      <w:r>
        <w:rPr>
          <w:rFonts w:hint="eastAsia"/>
        </w:rPr>
        <w:t>万千瓦，全区新能源发电量达到</w:t>
      </w:r>
      <w:r>
        <w:rPr>
          <w:rFonts w:hint="eastAsia"/>
        </w:rPr>
        <w:t>21</w:t>
      </w:r>
      <w:r>
        <w:rPr>
          <w:rFonts w:hint="eastAsia"/>
        </w:rPr>
        <w:t>亿千瓦时，可再生能源非</w:t>
      </w:r>
      <w:proofErr w:type="gramStart"/>
      <w:r>
        <w:rPr>
          <w:rFonts w:hint="eastAsia"/>
        </w:rPr>
        <w:t>电利用</w:t>
      </w:r>
      <w:proofErr w:type="gramEnd"/>
      <w:r>
        <w:rPr>
          <w:rFonts w:hint="eastAsia"/>
        </w:rPr>
        <w:t>达到</w:t>
      </w:r>
      <w:r>
        <w:rPr>
          <w:rFonts w:hint="eastAsia"/>
        </w:rPr>
        <w:t>3</w:t>
      </w:r>
      <w:r>
        <w:rPr>
          <w:rFonts w:hint="eastAsia"/>
        </w:rPr>
        <w:t>万吨标准煤，建成康巴什绿色低碳示范区。</w:t>
      </w:r>
    </w:p>
    <w:p w14:paraId="313B4671" w14:textId="77777777" w:rsidR="00A739F2" w:rsidRDefault="00597D48">
      <w:pPr>
        <w:spacing w:line="360" w:lineRule="auto"/>
      </w:pPr>
      <w:r>
        <w:rPr>
          <w:rFonts w:hint="eastAsia"/>
        </w:rPr>
        <w:t>远期目标：</w:t>
      </w:r>
      <w:r>
        <w:rPr>
          <w:rFonts w:hint="eastAsia"/>
        </w:rPr>
        <w:t>2030</w:t>
      </w:r>
      <w:r>
        <w:rPr>
          <w:rFonts w:hint="eastAsia"/>
        </w:rPr>
        <w:t>年如期</w:t>
      </w:r>
      <w:proofErr w:type="gramStart"/>
      <w:r>
        <w:rPr>
          <w:rFonts w:hint="eastAsia"/>
        </w:rPr>
        <w:t>实现碳达峰</w:t>
      </w:r>
      <w:proofErr w:type="gramEnd"/>
      <w:r>
        <w:rPr>
          <w:rFonts w:hint="eastAsia"/>
        </w:rPr>
        <w:t>，绿色低碳高质量发展取得显著成效，可再生能源消费占比、单位地区生产总值二氧化碳排放等关键指标位居自治区前列。到</w:t>
      </w:r>
      <w:r>
        <w:rPr>
          <w:rFonts w:hint="eastAsia"/>
        </w:rPr>
        <w:t>2035</w:t>
      </w:r>
      <w:r>
        <w:rPr>
          <w:rFonts w:hint="eastAsia"/>
        </w:rPr>
        <w:t>年，新能源成为康巴什区能源供应主体，率先建成全国</w:t>
      </w:r>
      <w:proofErr w:type="gramStart"/>
      <w:r>
        <w:rPr>
          <w:rFonts w:hint="eastAsia"/>
        </w:rPr>
        <w:t>示范性零碳城市</w:t>
      </w:r>
      <w:proofErr w:type="gramEnd"/>
      <w:r>
        <w:rPr>
          <w:rFonts w:hint="eastAsia"/>
        </w:rPr>
        <w:t>。</w:t>
      </w:r>
    </w:p>
    <w:p w14:paraId="4A0A30AC" w14:textId="77777777" w:rsidR="00A739F2" w:rsidRDefault="00597D48">
      <w:pPr>
        <w:widowControl/>
        <w:kinsoku w:val="0"/>
        <w:autoSpaceDE w:val="0"/>
        <w:autoSpaceDN w:val="0"/>
        <w:adjustRightInd w:val="0"/>
        <w:spacing w:before="100" w:line="360" w:lineRule="auto"/>
        <w:ind w:left="601" w:firstLineChars="0" w:firstLine="0"/>
        <w:jc w:val="left"/>
        <w:textAlignment w:val="baseline"/>
        <w:outlineLvl w:val="0"/>
        <w:rPr>
          <w:rFonts w:eastAsia="黑体" w:cs="黑体"/>
          <w:snapToGrid w:val="0"/>
          <w:color w:val="000000"/>
          <w:spacing w:val="-2"/>
          <w:kern w:val="0"/>
          <w:szCs w:val="32"/>
        </w:rPr>
      </w:pPr>
      <w:bookmarkStart w:id="85" w:name="_Toc10717"/>
      <w:bookmarkStart w:id="86" w:name="_Toc25899"/>
      <w:bookmarkStart w:id="87" w:name="_Toc8607"/>
      <w:bookmarkStart w:id="88" w:name="_Toc24552"/>
      <w:bookmarkStart w:id="89" w:name="_Toc32034"/>
      <w:bookmarkStart w:id="90" w:name="_Toc22693"/>
      <w:bookmarkStart w:id="91" w:name="_Toc4510"/>
      <w:bookmarkStart w:id="92" w:name="_Toc19550"/>
      <w:r>
        <w:rPr>
          <w:rFonts w:eastAsia="黑体" w:cs="黑体" w:hint="eastAsia"/>
          <w:snapToGrid w:val="0"/>
          <w:color w:val="000000"/>
          <w:spacing w:val="-2"/>
          <w:kern w:val="0"/>
          <w:szCs w:val="32"/>
        </w:rPr>
        <w:t>三</w:t>
      </w:r>
      <w:r>
        <w:rPr>
          <w:rFonts w:eastAsia="黑体" w:cs="黑体"/>
          <w:snapToGrid w:val="0"/>
          <w:color w:val="000000"/>
          <w:spacing w:val="-2"/>
          <w:kern w:val="0"/>
          <w:szCs w:val="32"/>
        </w:rPr>
        <w:t>、发展基础和发展形势</w:t>
      </w:r>
      <w:bookmarkEnd w:id="85"/>
      <w:bookmarkEnd w:id="86"/>
      <w:bookmarkEnd w:id="87"/>
      <w:bookmarkEnd w:id="88"/>
      <w:bookmarkEnd w:id="89"/>
      <w:bookmarkEnd w:id="90"/>
      <w:bookmarkEnd w:id="91"/>
      <w:bookmarkEnd w:id="92"/>
    </w:p>
    <w:p w14:paraId="03FA053D" w14:textId="77777777" w:rsidR="00A739F2" w:rsidRDefault="00597D48">
      <w:pPr>
        <w:outlineLvl w:val="1"/>
        <w:rPr>
          <w:rFonts w:eastAsia="方正楷体_GB2312" w:cs="方正楷体_GB2312"/>
        </w:rPr>
      </w:pPr>
      <w:bookmarkStart w:id="93" w:name="_Toc17974"/>
      <w:bookmarkStart w:id="94" w:name="_Toc24987"/>
      <w:bookmarkStart w:id="95" w:name="_Toc16937"/>
      <w:bookmarkStart w:id="96" w:name="_Toc20200"/>
      <w:bookmarkStart w:id="97" w:name="_Toc5978"/>
      <w:bookmarkStart w:id="98" w:name="_Toc21216"/>
      <w:bookmarkStart w:id="99" w:name="_Toc18162"/>
      <w:r>
        <w:rPr>
          <w:rFonts w:eastAsia="方正楷体_GB2312" w:cs="方正楷体_GB2312" w:hint="eastAsia"/>
        </w:rPr>
        <w:t>（一）康巴什区自然环境和社会经济现状</w:t>
      </w:r>
      <w:bookmarkEnd w:id="93"/>
      <w:bookmarkEnd w:id="94"/>
      <w:bookmarkEnd w:id="95"/>
      <w:bookmarkEnd w:id="96"/>
      <w:bookmarkEnd w:id="97"/>
      <w:bookmarkEnd w:id="98"/>
      <w:bookmarkEnd w:id="99"/>
    </w:p>
    <w:p w14:paraId="29A7A4F7" w14:textId="77777777" w:rsidR="00A739F2" w:rsidRDefault="00597D48">
      <w:r>
        <w:rPr>
          <w:rFonts w:hint="eastAsia"/>
        </w:rPr>
        <w:t>康</w:t>
      </w:r>
      <w:r>
        <w:rPr>
          <w:rFonts w:hint="eastAsia"/>
        </w:rPr>
        <w:t>巴什区位于内蒙古自治区西南部、鄂尔多斯市中南部，介于北纬</w:t>
      </w:r>
      <w:r>
        <w:rPr>
          <w:rFonts w:hint="eastAsia"/>
        </w:rPr>
        <w:t>39</w:t>
      </w:r>
      <w:r>
        <w:t>°</w:t>
      </w:r>
      <w:r>
        <w:rPr>
          <w:rFonts w:hint="eastAsia"/>
        </w:rPr>
        <w:t>31</w:t>
      </w:r>
      <w:r>
        <w:rPr>
          <w:rFonts w:hint="eastAsia"/>
        </w:rPr>
        <w:t>′—</w:t>
      </w:r>
      <w:r>
        <w:rPr>
          <w:rFonts w:hint="eastAsia"/>
        </w:rPr>
        <w:t>39</w:t>
      </w:r>
      <w:r>
        <w:t>°</w:t>
      </w:r>
      <w:r>
        <w:rPr>
          <w:rFonts w:hint="eastAsia"/>
        </w:rPr>
        <w:t>45</w:t>
      </w:r>
      <w:r>
        <w:rPr>
          <w:rFonts w:hint="eastAsia"/>
        </w:rPr>
        <w:t>′、东经</w:t>
      </w:r>
      <w:r>
        <w:rPr>
          <w:rFonts w:hint="eastAsia"/>
        </w:rPr>
        <w:t>109</w:t>
      </w:r>
      <w:r>
        <w:t>°</w:t>
      </w:r>
      <w:r>
        <w:rPr>
          <w:rFonts w:hint="eastAsia"/>
        </w:rPr>
        <w:t>38</w:t>
      </w:r>
      <w:r>
        <w:rPr>
          <w:rFonts w:hint="eastAsia"/>
        </w:rPr>
        <w:t>′—</w:t>
      </w:r>
      <w:r>
        <w:rPr>
          <w:rFonts w:hint="eastAsia"/>
        </w:rPr>
        <w:t>110</w:t>
      </w:r>
      <w:r>
        <w:t>°</w:t>
      </w:r>
      <w:r>
        <w:rPr>
          <w:rFonts w:hint="eastAsia"/>
        </w:rPr>
        <w:t>21</w:t>
      </w:r>
      <w:r>
        <w:rPr>
          <w:rFonts w:hint="eastAsia"/>
        </w:rPr>
        <w:t>′之间，毗邻</w:t>
      </w:r>
      <w:r>
        <w:rPr>
          <w:rFonts w:hint="eastAsia"/>
        </w:rPr>
        <w:t>2</w:t>
      </w:r>
      <w:r>
        <w:rPr>
          <w:rFonts w:hint="eastAsia"/>
        </w:rPr>
        <w:t>个区（旗），北靠东胜区，东、南、西三面与伊金霍洛旗接壤，</w:t>
      </w:r>
      <w:r>
        <w:rPr>
          <w:rFonts w:hint="eastAsia"/>
          <w:szCs w:val="24"/>
        </w:rPr>
        <w:t>是鄂尔多斯的政治、文化、科教中心</w:t>
      </w:r>
      <w:r>
        <w:rPr>
          <w:rFonts w:hint="eastAsia"/>
        </w:rPr>
        <w:t>。康巴什区</w:t>
      </w:r>
      <w:r>
        <w:rPr>
          <w:rFonts w:hint="eastAsia"/>
          <w:szCs w:val="24"/>
        </w:rPr>
        <w:t>于</w:t>
      </w:r>
      <w:r>
        <w:rPr>
          <w:rFonts w:hint="eastAsia"/>
          <w:szCs w:val="24"/>
        </w:rPr>
        <w:t>2004</w:t>
      </w:r>
      <w:r>
        <w:rPr>
          <w:rFonts w:hint="eastAsia"/>
          <w:szCs w:val="24"/>
        </w:rPr>
        <w:t>年启动建设，</w:t>
      </w:r>
      <w:r>
        <w:rPr>
          <w:rFonts w:hint="eastAsia"/>
          <w:szCs w:val="24"/>
        </w:rPr>
        <w:t>2016</w:t>
      </w:r>
      <w:r>
        <w:rPr>
          <w:rFonts w:hint="eastAsia"/>
          <w:szCs w:val="24"/>
        </w:rPr>
        <w:t>年</w:t>
      </w:r>
      <w:r>
        <w:rPr>
          <w:rFonts w:hint="eastAsia"/>
          <w:szCs w:val="24"/>
        </w:rPr>
        <w:t>6</w:t>
      </w:r>
      <w:r>
        <w:rPr>
          <w:rFonts w:hint="eastAsia"/>
          <w:szCs w:val="24"/>
        </w:rPr>
        <w:t>月经国务院批准设立县级康巴什区，下辖</w:t>
      </w:r>
      <w:r>
        <w:rPr>
          <w:rFonts w:hint="eastAsia"/>
          <w:szCs w:val="24"/>
        </w:rPr>
        <w:t>4</w:t>
      </w:r>
      <w:r>
        <w:rPr>
          <w:rFonts w:hint="eastAsia"/>
          <w:szCs w:val="24"/>
        </w:rPr>
        <w:t>个街道办事处、</w:t>
      </w:r>
      <w:r>
        <w:rPr>
          <w:rFonts w:hint="eastAsia"/>
          <w:szCs w:val="24"/>
        </w:rPr>
        <w:t>21</w:t>
      </w:r>
      <w:r>
        <w:rPr>
          <w:rFonts w:hint="eastAsia"/>
          <w:szCs w:val="24"/>
        </w:rPr>
        <w:t>个社区，</w:t>
      </w:r>
      <w:r>
        <w:rPr>
          <w:rFonts w:hint="eastAsia"/>
        </w:rPr>
        <w:t>全区总面积为</w:t>
      </w:r>
      <w:r>
        <w:rPr>
          <w:rFonts w:hint="eastAsia"/>
        </w:rPr>
        <w:t>372.55</w:t>
      </w:r>
      <w:r>
        <w:rPr>
          <w:rFonts w:hint="eastAsia"/>
        </w:rPr>
        <w:t>平方公里</w:t>
      </w:r>
      <w:r>
        <w:rPr>
          <w:rFonts w:hint="eastAsia"/>
          <w:szCs w:val="24"/>
        </w:rPr>
        <w:t>，建成区面积</w:t>
      </w:r>
      <w:r>
        <w:rPr>
          <w:rFonts w:hint="eastAsia"/>
          <w:szCs w:val="24"/>
        </w:rPr>
        <w:t>38.42</w:t>
      </w:r>
      <w:r>
        <w:rPr>
          <w:rFonts w:hint="eastAsia"/>
          <w:szCs w:val="24"/>
        </w:rPr>
        <w:t>平方公里，现有人口</w:t>
      </w:r>
      <w:r>
        <w:rPr>
          <w:rFonts w:hint="eastAsia"/>
          <w:szCs w:val="24"/>
        </w:rPr>
        <w:t>12.45</w:t>
      </w:r>
      <w:r>
        <w:rPr>
          <w:rFonts w:hint="eastAsia"/>
          <w:szCs w:val="24"/>
        </w:rPr>
        <w:t>万</w:t>
      </w:r>
      <w:r>
        <w:rPr>
          <w:rFonts w:hint="eastAsia"/>
        </w:rPr>
        <w:t>。康巴什区地处鄂尔</w:t>
      </w:r>
      <w:r>
        <w:rPr>
          <w:rFonts w:hint="eastAsia"/>
        </w:rPr>
        <w:lastRenderedPageBreak/>
        <w:t>多斯高原腹地，北靠青春山，南临东红海子，三面被乌兰木伦河环绕，地势开阔平坦。康巴什区</w:t>
      </w:r>
      <w:r>
        <w:rPr>
          <w:rFonts w:hint="eastAsia"/>
        </w:rPr>
        <w:t>属典型的温带大陆性气候，日照丰富，四季分明，无霜期短，年均气温</w:t>
      </w:r>
      <w:r>
        <w:rPr>
          <w:rFonts w:hint="eastAsia"/>
        </w:rPr>
        <w:t>6</w:t>
      </w:r>
      <w:r>
        <w:rPr>
          <w:rFonts w:hint="eastAsia"/>
        </w:rPr>
        <w:t>℃左右，城市核心区夏季平均气温</w:t>
      </w:r>
      <w:r>
        <w:rPr>
          <w:rFonts w:hint="eastAsia"/>
        </w:rPr>
        <w:t>21</w:t>
      </w:r>
      <w:r>
        <w:rPr>
          <w:rFonts w:hint="eastAsia"/>
        </w:rPr>
        <w:t>℃，平原“绿洲效应”显著，小气候相对舒适，空气质量优良天数达</w:t>
      </w:r>
      <w:r>
        <w:rPr>
          <w:rFonts w:hint="eastAsia"/>
        </w:rPr>
        <w:t>300</w:t>
      </w:r>
      <w:r>
        <w:rPr>
          <w:rFonts w:hint="eastAsia"/>
        </w:rPr>
        <w:t>天以上。</w:t>
      </w:r>
    </w:p>
    <w:p w14:paraId="1F706D3A" w14:textId="77777777" w:rsidR="00A739F2" w:rsidRDefault="00597D48">
      <w:r>
        <w:rPr>
          <w:rFonts w:hint="eastAsia"/>
        </w:rPr>
        <w:t>2023</w:t>
      </w:r>
      <w:r>
        <w:rPr>
          <w:rFonts w:hint="eastAsia"/>
        </w:rPr>
        <w:t>年，康巴什区全年地区生产总值</w:t>
      </w:r>
      <w:r>
        <w:rPr>
          <w:rFonts w:hint="eastAsia"/>
        </w:rPr>
        <w:t>140.95</w:t>
      </w:r>
      <w:r>
        <w:rPr>
          <w:rFonts w:hint="eastAsia"/>
        </w:rPr>
        <w:t>亿元，扣除价格因素影响，同比增长</w:t>
      </w:r>
      <w:r>
        <w:rPr>
          <w:rFonts w:hint="eastAsia"/>
        </w:rPr>
        <w:t>7.3%</w:t>
      </w:r>
      <w:r>
        <w:rPr>
          <w:rFonts w:hint="eastAsia"/>
        </w:rPr>
        <w:t>。分产业看，第一产业增加值为</w:t>
      </w:r>
      <w:r>
        <w:rPr>
          <w:rFonts w:hint="eastAsia"/>
        </w:rPr>
        <w:t>0.003</w:t>
      </w:r>
      <w:r>
        <w:rPr>
          <w:rFonts w:hint="eastAsia"/>
        </w:rPr>
        <w:t>亿元，同比增长</w:t>
      </w:r>
      <w:r>
        <w:rPr>
          <w:rFonts w:hint="eastAsia"/>
        </w:rPr>
        <w:t>4.2%</w:t>
      </w:r>
      <w:r>
        <w:rPr>
          <w:rFonts w:hint="eastAsia"/>
        </w:rPr>
        <w:t>；第二产业增加值</w:t>
      </w:r>
      <w:r>
        <w:rPr>
          <w:rFonts w:hint="eastAsia"/>
        </w:rPr>
        <w:t>36.96</w:t>
      </w:r>
      <w:r>
        <w:rPr>
          <w:rFonts w:hint="eastAsia"/>
        </w:rPr>
        <w:t>亿元，同比增长</w:t>
      </w:r>
      <w:r>
        <w:rPr>
          <w:rFonts w:hint="eastAsia"/>
        </w:rPr>
        <w:t>7.4%</w:t>
      </w:r>
      <w:r>
        <w:rPr>
          <w:rFonts w:hint="eastAsia"/>
        </w:rPr>
        <w:t>；第三产业增加值</w:t>
      </w:r>
      <w:r>
        <w:rPr>
          <w:rFonts w:hint="eastAsia"/>
        </w:rPr>
        <w:t>103.99</w:t>
      </w:r>
      <w:r>
        <w:rPr>
          <w:rFonts w:hint="eastAsia"/>
        </w:rPr>
        <w:t>亿元，同比增长</w:t>
      </w:r>
      <w:r>
        <w:rPr>
          <w:rFonts w:hint="eastAsia"/>
        </w:rPr>
        <w:t>7.2%</w:t>
      </w:r>
      <w:r>
        <w:rPr>
          <w:rFonts w:hint="eastAsia"/>
        </w:rPr>
        <w:t>；三次产业的结构比为</w:t>
      </w:r>
      <w:r>
        <w:rPr>
          <w:rFonts w:hint="eastAsia"/>
        </w:rPr>
        <w:t>0</w:t>
      </w:r>
      <w:r>
        <w:rPr>
          <w:rFonts w:hint="eastAsia"/>
        </w:rPr>
        <w:t>：</w:t>
      </w:r>
      <w:r>
        <w:rPr>
          <w:rFonts w:hint="eastAsia"/>
        </w:rPr>
        <w:t>26</w:t>
      </w:r>
      <w:r>
        <w:rPr>
          <w:rFonts w:hint="eastAsia"/>
        </w:rPr>
        <w:t>：</w:t>
      </w:r>
      <w:r>
        <w:rPr>
          <w:rFonts w:hint="eastAsia"/>
        </w:rPr>
        <w:t>74</w:t>
      </w:r>
      <w:r>
        <w:rPr>
          <w:rFonts w:hint="eastAsia"/>
        </w:rPr>
        <w:t>。第一、二、三产业对地区生产总值的贡献率分别为</w:t>
      </w:r>
      <w:r>
        <w:rPr>
          <w:rFonts w:hint="eastAsia"/>
        </w:rPr>
        <w:t>0%</w:t>
      </w:r>
      <w:r>
        <w:rPr>
          <w:rFonts w:hint="eastAsia"/>
        </w:rPr>
        <w:t>、</w:t>
      </w:r>
      <w:r>
        <w:rPr>
          <w:rFonts w:hint="eastAsia"/>
        </w:rPr>
        <w:t>23.</w:t>
      </w:r>
      <w:r>
        <w:rPr>
          <w:rFonts w:hint="eastAsia"/>
        </w:rPr>
        <w:t>7%</w:t>
      </w:r>
      <w:r>
        <w:rPr>
          <w:rFonts w:hint="eastAsia"/>
        </w:rPr>
        <w:t>、</w:t>
      </w:r>
      <w:r>
        <w:rPr>
          <w:rFonts w:hint="eastAsia"/>
        </w:rPr>
        <w:t>76.3%</w:t>
      </w:r>
      <w:r>
        <w:rPr>
          <w:rFonts w:hint="eastAsia"/>
        </w:rPr>
        <w:t>。人均地区生产总值达到</w:t>
      </w:r>
      <w:r>
        <w:rPr>
          <w:rFonts w:hint="eastAsia"/>
        </w:rPr>
        <w:t>112133</w:t>
      </w:r>
      <w:r>
        <w:rPr>
          <w:rFonts w:hint="eastAsia"/>
        </w:rPr>
        <w:t>元，同比增长</w:t>
      </w:r>
      <w:r>
        <w:rPr>
          <w:rFonts w:hint="eastAsia"/>
        </w:rPr>
        <w:t>4.5%</w:t>
      </w:r>
      <w:r>
        <w:rPr>
          <w:rFonts w:hint="eastAsia"/>
        </w:rPr>
        <w:t>。</w:t>
      </w:r>
    </w:p>
    <w:p w14:paraId="371B0736" w14:textId="77777777" w:rsidR="00A739F2" w:rsidRDefault="00597D48">
      <w:r>
        <w:rPr>
          <w:rFonts w:hint="eastAsia"/>
        </w:rPr>
        <w:t>2023</w:t>
      </w:r>
      <w:r>
        <w:rPr>
          <w:rFonts w:hint="eastAsia"/>
        </w:rPr>
        <w:t>年全区签约落地招商项目</w:t>
      </w:r>
      <w:r>
        <w:rPr>
          <w:rFonts w:hint="eastAsia"/>
        </w:rPr>
        <w:t>90</w:t>
      </w:r>
      <w:r>
        <w:rPr>
          <w:rFonts w:hint="eastAsia"/>
        </w:rPr>
        <w:t>项，国内（自治区外）到位资金</w:t>
      </w:r>
      <w:r>
        <w:rPr>
          <w:rFonts w:hint="eastAsia"/>
        </w:rPr>
        <w:t>9.24</w:t>
      </w:r>
      <w:r>
        <w:rPr>
          <w:rFonts w:hint="eastAsia"/>
        </w:rPr>
        <w:t>亿元，增速位居全市第一。市场主体达</w:t>
      </w:r>
      <w:r>
        <w:rPr>
          <w:rFonts w:hint="eastAsia"/>
        </w:rPr>
        <w:t>1.26</w:t>
      </w:r>
      <w:r>
        <w:rPr>
          <w:rFonts w:hint="eastAsia"/>
        </w:rPr>
        <w:t>万户，同比增长</w:t>
      </w:r>
      <w:r>
        <w:rPr>
          <w:rFonts w:hint="eastAsia"/>
        </w:rPr>
        <w:t>53%</w:t>
      </w:r>
      <w:r>
        <w:rPr>
          <w:rFonts w:hint="eastAsia"/>
        </w:rPr>
        <w:t>。总部经济不断壮大，一批企业总部成功入驻。金融机构加速聚集，数字金融创新示范基地具备入驻条件，新增基金管理公司</w:t>
      </w:r>
      <w:r>
        <w:rPr>
          <w:rFonts w:hint="eastAsia"/>
        </w:rPr>
        <w:t>1</w:t>
      </w:r>
      <w:r>
        <w:rPr>
          <w:rFonts w:hint="eastAsia"/>
        </w:rPr>
        <w:t>家、私</w:t>
      </w:r>
      <w:proofErr w:type="gramStart"/>
      <w:r>
        <w:rPr>
          <w:rFonts w:hint="eastAsia"/>
        </w:rPr>
        <w:t>募股权投资</w:t>
      </w:r>
      <w:proofErr w:type="gramEnd"/>
      <w:r>
        <w:rPr>
          <w:rFonts w:hint="eastAsia"/>
        </w:rPr>
        <w:t>基金</w:t>
      </w:r>
      <w:r>
        <w:rPr>
          <w:rFonts w:hint="eastAsia"/>
        </w:rPr>
        <w:t>8</w:t>
      </w:r>
      <w:r>
        <w:rPr>
          <w:rFonts w:hint="eastAsia"/>
        </w:rPr>
        <w:t>只。数字经济加速成长，“多多评”平台全市注册人数达到</w:t>
      </w:r>
      <w:r>
        <w:rPr>
          <w:rFonts w:hint="eastAsia"/>
        </w:rPr>
        <w:t>127</w:t>
      </w:r>
      <w:r>
        <w:rPr>
          <w:rFonts w:hint="eastAsia"/>
        </w:rPr>
        <w:t>万人，聚合支付总交易额突破</w:t>
      </w:r>
      <w:r>
        <w:rPr>
          <w:rFonts w:hint="eastAsia"/>
        </w:rPr>
        <w:t>11</w:t>
      </w:r>
      <w:r>
        <w:rPr>
          <w:rFonts w:hint="eastAsia"/>
        </w:rPr>
        <w:t>亿元；完成新能源智能网联汽车示范应用一期项目建设，成为自治区首个无人驾驶汽车应用示范场景城市。</w:t>
      </w:r>
      <w:r>
        <w:rPr>
          <w:rFonts w:hint="eastAsia"/>
        </w:rPr>
        <w:lastRenderedPageBreak/>
        <w:t>消费结构不断优化，新能源汽车销售中心正式运营，入驻企业</w:t>
      </w:r>
      <w:r>
        <w:rPr>
          <w:rFonts w:hint="eastAsia"/>
        </w:rPr>
        <w:t>24</w:t>
      </w:r>
      <w:r>
        <w:rPr>
          <w:rFonts w:hint="eastAsia"/>
        </w:rPr>
        <w:t>家，销</w:t>
      </w:r>
      <w:r>
        <w:rPr>
          <w:rFonts w:hint="eastAsia"/>
        </w:rPr>
        <w:t>售额达到</w:t>
      </w:r>
      <w:r>
        <w:rPr>
          <w:rFonts w:hint="eastAsia"/>
        </w:rPr>
        <w:t>15</w:t>
      </w:r>
      <w:r>
        <w:rPr>
          <w:rFonts w:hint="eastAsia"/>
        </w:rPr>
        <w:t>亿元</w:t>
      </w:r>
    </w:p>
    <w:p w14:paraId="22F084DA" w14:textId="77777777" w:rsidR="00A739F2" w:rsidRDefault="00597D48">
      <w:pPr>
        <w:keepNext/>
        <w:outlineLvl w:val="1"/>
        <w:rPr>
          <w:rFonts w:eastAsia="楷体" w:cs="楷体"/>
        </w:rPr>
      </w:pPr>
      <w:bookmarkStart w:id="100" w:name="_Toc19957"/>
      <w:bookmarkStart w:id="101" w:name="_Toc4130"/>
      <w:bookmarkStart w:id="102" w:name="_Toc32359"/>
      <w:bookmarkStart w:id="103" w:name="_Toc21690"/>
      <w:bookmarkStart w:id="104" w:name="_Toc5004"/>
      <w:bookmarkStart w:id="105" w:name="_Toc10584"/>
      <w:bookmarkStart w:id="106" w:name="_Toc12164"/>
      <w:r>
        <w:rPr>
          <w:rFonts w:eastAsia="楷体" w:cs="楷体" w:hint="eastAsia"/>
        </w:rPr>
        <w:t>（二）新能源发展现状</w:t>
      </w:r>
      <w:bookmarkEnd w:id="100"/>
      <w:bookmarkEnd w:id="101"/>
      <w:bookmarkEnd w:id="102"/>
      <w:bookmarkEnd w:id="103"/>
      <w:bookmarkEnd w:id="104"/>
      <w:bookmarkEnd w:id="105"/>
      <w:bookmarkEnd w:id="106"/>
    </w:p>
    <w:p w14:paraId="002557B2" w14:textId="77777777" w:rsidR="00A739F2" w:rsidRDefault="00597D48">
      <w:r>
        <w:rPr>
          <w:rFonts w:hint="eastAsia"/>
        </w:rPr>
        <w:t>截至</w:t>
      </w:r>
      <w:r>
        <w:rPr>
          <w:rFonts w:hint="eastAsia"/>
        </w:rPr>
        <w:t>2023</w:t>
      </w:r>
      <w:r>
        <w:rPr>
          <w:rFonts w:hint="eastAsia"/>
        </w:rPr>
        <w:t>年底，康巴什区存量新能源项目共有</w:t>
      </w:r>
      <w:r>
        <w:rPr>
          <w:rFonts w:hint="eastAsia"/>
        </w:rPr>
        <w:t>166.2</w:t>
      </w:r>
      <w:r>
        <w:rPr>
          <w:rFonts w:hint="eastAsia"/>
        </w:rPr>
        <w:t>兆瓦。其中，已建成新能源项目</w:t>
      </w:r>
      <w:r>
        <w:rPr>
          <w:rFonts w:hint="eastAsia"/>
        </w:rPr>
        <w:t>5</w:t>
      </w:r>
      <w:r>
        <w:rPr>
          <w:rFonts w:hint="eastAsia"/>
        </w:rPr>
        <w:t>项，均为分布式光伏项目，总容量</w:t>
      </w:r>
      <w:r>
        <w:rPr>
          <w:rFonts w:hint="eastAsia"/>
        </w:rPr>
        <w:t>14.2</w:t>
      </w:r>
      <w:r>
        <w:rPr>
          <w:rFonts w:hint="eastAsia"/>
        </w:rPr>
        <w:t>兆瓦，年发电量约</w:t>
      </w:r>
      <w:r>
        <w:rPr>
          <w:rFonts w:hint="eastAsia"/>
        </w:rPr>
        <w:t>2300</w:t>
      </w:r>
      <w:r>
        <w:rPr>
          <w:rFonts w:hint="eastAsia"/>
        </w:rPr>
        <w:t>万千瓦时；已批复分布式光</w:t>
      </w:r>
      <w:proofErr w:type="gramStart"/>
      <w:r>
        <w:rPr>
          <w:rFonts w:hint="eastAsia"/>
        </w:rPr>
        <w:t>伏项目</w:t>
      </w:r>
      <w:proofErr w:type="gramEnd"/>
      <w:r>
        <w:rPr>
          <w:rFonts w:hint="eastAsia"/>
        </w:rPr>
        <w:t>1</w:t>
      </w:r>
      <w:r>
        <w:rPr>
          <w:rFonts w:hint="eastAsia"/>
        </w:rPr>
        <w:t>项，容量为</w:t>
      </w:r>
      <w:r>
        <w:rPr>
          <w:rFonts w:hint="eastAsia"/>
        </w:rPr>
        <w:t>12</w:t>
      </w:r>
      <w:r>
        <w:rPr>
          <w:rFonts w:hint="eastAsia"/>
        </w:rPr>
        <w:t>兆瓦；已批复集中式光</w:t>
      </w:r>
      <w:proofErr w:type="gramStart"/>
      <w:r>
        <w:rPr>
          <w:rFonts w:hint="eastAsia"/>
        </w:rPr>
        <w:t>伏项目</w:t>
      </w:r>
      <w:proofErr w:type="gramEnd"/>
      <w:r>
        <w:rPr>
          <w:rFonts w:hint="eastAsia"/>
        </w:rPr>
        <w:t>1</w:t>
      </w:r>
      <w:r>
        <w:rPr>
          <w:rFonts w:hint="eastAsia"/>
        </w:rPr>
        <w:t>项，容量为</w:t>
      </w:r>
      <w:r>
        <w:rPr>
          <w:rFonts w:hint="eastAsia"/>
        </w:rPr>
        <w:t>1</w:t>
      </w:r>
      <w:r>
        <w:t>4</w:t>
      </w:r>
      <w:r>
        <w:rPr>
          <w:rFonts w:hint="eastAsia"/>
        </w:rPr>
        <w:t>0</w:t>
      </w:r>
      <w:r>
        <w:rPr>
          <w:rFonts w:hint="eastAsia"/>
        </w:rPr>
        <w:t>兆瓦，</w:t>
      </w:r>
      <w:proofErr w:type="gramStart"/>
      <w:r>
        <w:rPr>
          <w:rFonts w:hint="eastAsia"/>
        </w:rPr>
        <w:t>为京能火电</w:t>
      </w:r>
      <w:proofErr w:type="gramEnd"/>
      <w:r>
        <w:rPr>
          <w:rFonts w:hint="eastAsia"/>
        </w:rPr>
        <w:t>灵活性改造消纳新能源项目。</w:t>
      </w:r>
    </w:p>
    <w:p w14:paraId="33A1F97E" w14:textId="77777777" w:rsidR="00A739F2" w:rsidRDefault="00597D48">
      <w:pPr>
        <w:rPr>
          <w:rFonts w:cs="Times New Roman"/>
        </w:rPr>
      </w:pPr>
      <w:r>
        <w:rPr>
          <w:rFonts w:cs="Times New Roman" w:hint="eastAsia"/>
        </w:rPr>
        <w:t>当前康巴什区新能源装机量较小，发电量占比较低，主要受限于本地消</w:t>
      </w:r>
      <w:proofErr w:type="gramStart"/>
      <w:r>
        <w:rPr>
          <w:rFonts w:cs="Times New Roman" w:hint="eastAsia"/>
        </w:rPr>
        <w:t>纳空间</w:t>
      </w:r>
      <w:proofErr w:type="gramEnd"/>
      <w:r>
        <w:rPr>
          <w:rFonts w:cs="Times New Roman" w:hint="eastAsia"/>
        </w:rPr>
        <w:t>较小，无大型用电负荷，新能源开发模式受限。</w:t>
      </w:r>
    </w:p>
    <w:p w14:paraId="67ED2898" w14:textId="77777777" w:rsidR="00A739F2" w:rsidRDefault="00597D48">
      <w:pPr>
        <w:outlineLvl w:val="1"/>
        <w:rPr>
          <w:rFonts w:eastAsia="楷体" w:cs="楷体"/>
        </w:rPr>
      </w:pPr>
      <w:bookmarkStart w:id="107" w:name="_Toc23771"/>
      <w:bookmarkStart w:id="108" w:name="_Toc19297"/>
      <w:bookmarkStart w:id="109" w:name="_Toc24368"/>
      <w:bookmarkStart w:id="110" w:name="_Toc18712"/>
      <w:bookmarkStart w:id="111" w:name="_Toc6353"/>
      <w:bookmarkStart w:id="112" w:name="_Toc24678"/>
      <w:bookmarkStart w:id="113" w:name="_Toc28101"/>
      <w:r>
        <w:rPr>
          <w:rFonts w:eastAsia="楷体" w:cs="楷体" w:hint="eastAsia"/>
        </w:rPr>
        <w:t>（三）风光资源禀赋</w:t>
      </w:r>
      <w:bookmarkEnd w:id="107"/>
      <w:bookmarkEnd w:id="108"/>
      <w:bookmarkEnd w:id="109"/>
      <w:bookmarkEnd w:id="110"/>
      <w:bookmarkEnd w:id="111"/>
      <w:bookmarkEnd w:id="112"/>
      <w:bookmarkEnd w:id="113"/>
    </w:p>
    <w:p w14:paraId="103B44EF" w14:textId="77777777" w:rsidR="00A739F2" w:rsidRDefault="00597D48">
      <w:pPr>
        <w:spacing w:line="360" w:lineRule="auto"/>
      </w:pPr>
      <w:r>
        <w:rPr>
          <w:rFonts w:hint="eastAsia"/>
        </w:rPr>
        <w:t>1</w:t>
      </w:r>
      <w:r>
        <w:rPr>
          <w:rFonts w:hint="eastAsia"/>
        </w:rPr>
        <w:t>、风能资源概况</w:t>
      </w:r>
    </w:p>
    <w:p w14:paraId="4CD04603" w14:textId="77777777" w:rsidR="00A739F2" w:rsidRDefault="00597D48">
      <w:pPr>
        <w:spacing w:line="360" w:lineRule="auto"/>
      </w:pPr>
      <w:r>
        <w:rPr>
          <w:rFonts w:hint="eastAsia"/>
        </w:rPr>
        <w:t>（</w:t>
      </w:r>
      <w:r>
        <w:rPr>
          <w:rFonts w:hint="eastAsia"/>
        </w:rPr>
        <w:t>1</w:t>
      </w:r>
      <w:r>
        <w:rPr>
          <w:rFonts w:hint="eastAsia"/>
        </w:rPr>
        <w:t>）鄂尔多斯市风能资源概况</w:t>
      </w:r>
    </w:p>
    <w:p w14:paraId="6D1ABBFA" w14:textId="77777777" w:rsidR="00A739F2" w:rsidRDefault="00597D48">
      <w:pPr>
        <w:spacing w:line="360" w:lineRule="auto"/>
      </w:pPr>
      <w:proofErr w:type="gramStart"/>
      <w:r>
        <w:rPr>
          <w:rFonts w:hint="eastAsia"/>
        </w:rPr>
        <w:t>鄂尔多斯市杭锦旗</w:t>
      </w:r>
      <w:proofErr w:type="gramEnd"/>
      <w:r>
        <w:rPr>
          <w:rFonts w:hint="eastAsia"/>
        </w:rPr>
        <w:t>、鄂托克旗、鄂托克前</w:t>
      </w:r>
      <w:proofErr w:type="gramStart"/>
      <w:r>
        <w:rPr>
          <w:rFonts w:hint="eastAsia"/>
        </w:rPr>
        <w:t>旗位于</w:t>
      </w:r>
      <w:proofErr w:type="gramEnd"/>
      <w:r>
        <w:rPr>
          <w:rFonts w:hint="eastAsia"/>
        </w:rPr>
        <w:t>狼山和阴山之间的狭长风口地带，是西伯利亚冷空气南下的主要通道，具有风能品位高、有效风时多、稳定度高、连续性好等特点，具备建设千万千瓦级大型风电基地的条件。根据</w:t>
      </w:r>
      <w:r>
        <w:rPr>
          <w:rFonts w:hint="eastAsia"/>
        </w:rPr>
        <w:t>Merra2</w:t>
      </w:r>
      <w:r>
        <w:rPr>
          <w:rFonts w:hint="eastAsia"/>
        </w:rPr>
        <w:t>数据，同时参考气象站和</w:t>
      </w:r>
      <w:proofErr w:type="gramStart"/>
      <w:r>
        <w:rPr>
          <w:rFonts w:hint="eastAsia"/>
        </w:rPr>
        <w:t>测风塔风资源</w:t>
      </w:r>
      <w:proofErr w:type="gramEnd"/>
      <w:r>
        <w:rPr>
          <w:rFonts w:hint="eastAsia"/>
        </w:rPr>
        <w:t>观测数据分析结果，平均风速大多在</w:t>
      </w:r>
      <w:r>
        <w:rPr>
          <w:rFonts w:hint="eastAsia"/>
        </w:rPr>
        <w:t>6m/s</w:t>
      </w:r>
      <w:r>
        <w:rPr>
          <w:rFonts w:hint="eastAsia"/>
        </w:rPr>
        <w:t>以上，风能资源等级多为</w:t>
      </w:r>
      <w:r>
        <w:rPr>
          <w:rFonts w:hint="eastAsia"/>
        </w:rPr>
        <w:t>2</w:t>
      </w:r>
      <w:r>
        <w:rPr>
          <w:rFonts w:hint="eastAsia"/>
        </w:rPr>
        <w:t>～</w:t>
      </w:r>
      <w:r>
        <w:rPr>
          <w:rFonts w:hint="eastAsia"/>
        </w:rPr>
        <w:t>3</w:t>
      </w:r>
      <w:r>
        <w:rPr>
          <w:rFonts w:hint="eastAsia"/>
        </w:rPr>
        <w:t>级，具备较大开发</w:t>
      </w:r>
      <w:r>
        <w:rPr>
          <w:rFonts w:hint="eastAsia"/>
        </w:rPr>
        <w:lastRenderedPageBreak/>
        <w:t>价值。根据风资源实测数据和中尺度风资源软件分析，鄂尔多斯区域经济可开发范围内，风能资源技术可开发量超过</w:t>
      </w:r>
      <w:r>
        <w:rPr>
          <w:rFonts w:hint="eastAsia"/>
        </w:rPr>
        <w:t>1043.2</w:t>
      </w:r>
      <w:r>
        <w:rPr>
          <w:rFonts w:hint="eastAsia"/>
        </w:rPr>
        <w:t>万千瓦。</w:t>
      </w:r>
    </w:p>
    <w:p w14:paraId="35AA4C53" w14:textId="77777777" w:rsidR="00A739F2" w:rsidRDefault="00597D48">
      <w:pPr>
        <w:spacing w:line="360" w:lineRule="auto"/>
        <w:ind w:firstLine="560"/>
        <w:rPr>
          <w:rFonts w:eastAsia="黑体" w:cs="黑体"/>
          <w:color w:val="000000"/>
          <w:sz w:val="24"/>
          <w:szCs w:val="21"/>
        </w:rPr>
      </w:pPr>
      <w:r>
        <w:rPr>
          <w:rFonts w:eastAsia="黑体" w:cs="黑体" w:hint="eastAsia"/>
          <w:noProof/>
          <w:sz w:val="28"/>
        </w:rPr>
        <w:drawing>
          <wp:inline distT="0" distB="0" distL="114300" distR="114300" wp14:anchorId="7D2790A2" wp14:editId="71E49E78">
            <wp:extent cx="4448810" cy="3335655"/>
            <wp:effectExtent l="0" t="0" r="8890" b="444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6"/>
                    <a:stretch>
                      <a:fillRect/>
                    </a:stretch>
                  </pic:blipFill>
                  <pic:spPr>
                    <a:xfrm>
                      <a:off x="0" y="0"/>
                      <a:ext cx="4448810" cy="3335655"/>
                    </a:xfrm>
                    <a:prstGeom prst="rect">
                      <a:avLst/>
                    </a:prstGeom>
                    <a:noFill/>
                    <a:ln>
                      <a:noFill/>
                    </a:ln>
                  </pic:spPr>
                </pic:pic>
              </a:graphicData>
            </a:graphic>
          </wp:inline>
        </w:drawing>
      </w:r>
    </w:p>
    <w:p w14:paraId="613ED235"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3.3-1 </w:t>
      </w:r>
      <w:r>
        <w:rPr>
          <w:rFonts w:cs="Times New Roman" w:hint="eastAsia"/>
          <w:b/>
          <w:sz w:val="24"/>
        </w:rPr>
        <w:t>鄂尔多斯市</w:t>
      </w:r>
      <w:r>
        <w:rPr>
          <w:rFonts w:cs="Times New Roman" w:hint="eastAsia"/>
          <w:b/>
          <w:sz w:val="24"/>
        </w:rPr>
        <w:t>100</w:t>
      </w:r>
      <w:r>
        <w:rPr>
          <w:rFonts w:cs="Times New Roman" w:hint="eastAsia"/>
          <w:b/>
          <w:sz w:val="24"/>
        </w:rPr>
        <w:t>米高度年平均风速分布图</w:t>
      </w:r>
      <w:r>
        <w:rPr>
          <w:rFonts w:cs="Times New Roman" w:hint="eastAsia"/>
          <w:b/>
          <w:sz w:val="24"/>
          <w:szCs w:val="24"/>
        </w:rPr>
        <w:t>（数据来源：</w:t>
      </w:r>
      <w:r>
        <w:rPr>
          <w:rFonts w:eastAsia="方正仿宋_GB2312" w:cs="方正仿宋_GB2312" w:hint="eastAsia"/>
          <w:sz w:val="24"/>
          <w:szCs w:val="24"/>
        </w:rPr>
        <w:t>Merra2</w:t>
      </w:r>
      <w:r>
        <w:rPr>
          <w:rFonts w:cs="Times New Roman" w:hint="eastAsia"/>
          <w:b/>
          <w:sz w:val="24"/>
          <w:szCs w:val="24"/>
        </w:rPr>
        <w:t>）</w:t>
      </w:r>
    </w:p>
    <w:p w14:paraId="42133516" w14:textId="77777777" w:rsidR="00A739F2" w:rsidRDefault="00597D48">
      <w:pPr>
        <w:spacing w:line="360" w:lineRule="auto"/>
      </w:pPr>
      <w:r>
        <w:rPr>
          <w:rFonts w:hint="eastAsia"/>
        </w:rPr>
        <w:t>（</w:t>
      </w:r>
      <w:r>
        <w:rPr>
          <w:rFonts w:hint="eastAsia"/>
        </w:rPr>
        <w:t>2</w:t>
      </w:r>
      <w:r>
        <w:rPr>
          <w:rFonts w:hint="eastAsia"/>
        </w:rPr>
        <w:t>）康巴什风能资源概况</w:t>
      </w:r>
    </w:p>
    <w:p w14:paraId="75E8742A" w14:textId="77777777" w:rsidR="00A739F2" w:rsidRDefault="00597D48">
      <w:pPr>
        <w:spacing w:line="360" w:lineRule="auto"/>
      </w:pPr>
      <w:r>
        <w:rPr>
          <w:rFonts w:hint="eastAsia"/>
        </w:rPr>
        <w:t>康巴什风能资源分布不均，呈现西部和东部高，中部低的趋势，其中西北区域位于西伯利亚冷空气南下的主要通道，风资源最为优异，东中部区域次之，</w:t>
      </w:r>
      <w:r>
        <w:rPr>
          <w:rFonts w:hint="eastAsia"/>
        </w:rPr>
        <w:t>100m</w:t>
      </w:r>
      <w:r>
        <w:rPr>
          <w:rFonts w:hint="eastAsia"/>
        </w:rPr>
        <w:t>高度风速在</w:t>
      </w:r>
      <w:r>
        <w:rPr>
          <w:rFonts w:hint="eastAsia"/>
        </w:rPr>
        <w:t>5.7m/s</w:t>
      </w:r>
      <w:r>
        <w:rPr>
          <w:rFonts w:hint="eastAsia"/>
        </w:rPr>
        <w:t>～</w:t>
      </w:r>
      <w:r>
        <w:rPr>
          <w:rFonts w:hint="eastAsia"/>
        </w:rPr>
        <w:t>6.5m/s</w:t>
      </w:r>
      <w:r>
        <w:rPr>
          <w:rFonts w:hint="eastAsia"/>
        </w:rPr>
        <w:t>之间，风能密度在</w:t>
      </w:r>
      <w:r>
        <w:rPr>
          <w:rFonts w:hint="eastAsia"/>
        </w:rPr>
        <w:t>183</w:t>
      </w:r>
      <w:r>
        <w:rPr>
          <w:rFonts w:hint="eastAsia"/>
        </w:rPr>
        <w:t>～</w:t>
      </w:r>
      <w:r>
        <w:rPr>
          <w:rFonts w:hint="eastAsia"/>
        </w:rPr>
        <w:t>271W/m</w:t>
      </w:r>
      <w:r>
        <w:rPr>
          <w:rFonts w:hint="eastAsia"/>
          <w:vertAlign w:val="superscript"/>
        </w:rPr>
        <w:t>2</w:t>
      </w:r>
      <w:r>
        <w:rPr>
          <w:rFonts w:hint="eastAsia"/>
        </w:rPr>
        <w:t>之间，具有较好的开发价值。</w:t>
      </w:r>
    </w:p>
    <w:p w14:paraId="71BD7407" w14:textId="77777777" w:rsidR="00A739F2" w:rsidRDefault="00597D48">
      <w:pPr>
        <w:ind w:firstLineChars="0" w:firstLine="0"/>
        <w:jc w:val="center"/>
        <w:rPr>
          <w:rFonts w:cs="Times New Roman"/>
        </w:rPr>
      </w:pPr>
      <w:r>
        <w:rPr>
          <w:rFonts w:cs="Times New Roman" w:hint="eastAsia"/>
          <w:noProof/>
        </w:rPr>
        <w:lastRenderedPageBreak/>
        <w:drawing>
          <wp:inline distT="0" distB="0" distL="114300" distR="114300" wp14:anchorId="6AA0591A" wp14:editId="24872FDC">
            <wp:extent cx="5273675" cy="3172460"/>
            <wp:effectExtent l="0" t="0" r="0" b="0"/>
            <wp:docPr id="17" name="图片 17" descr="c0256eceeca02b1f97b6d27d7a6e3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0256eceeca02b1f97b6d27d7a6e36e"/>
                    <pic:cNvPicPr>
                      <a:picLocks noChangeAspect="1"/>
                    </pic:cNvPicPr>
                  </pic:nvPicPr>
                  <pic:blipFill>
                    <a:blip r:embed="rId17"/>
                    <a:srcRect t="14918"/>
                    <a:stretch>
                      <a:fillRect/>
                    </a:stretch>
                  </pic:blipFill>
                  <pic:spPr>
                    <a:xfrm>
                      <a:off x="0" y="0"/>
                      <a:ext cx="5273675" cy="3172460"/>
                    </a:xfrm>
                    <a:prstGeom prst="rect">
                      <a:avLst/>
                    </a:prstGeom>
                  </pic:spPr>
                </pic:pic>
              </a:graphicData>
            </a:graphic>
          </wp:inline>
        </w:drawing>
      </w:r>
    </w:p>
    <w:p w14:paraId="0C192BA7" w14:textId="77777777" w:rsidR="00A739F2" w:rsidRDefault="00597D48">
      <w:pPr>
        <w:ind w:firstLine="482"/>
        <w:jc w:val="center"/>
        <w:rPr>
          <w:rFonts w:cs="Times New Roman"/>
          <w:b/>
          <w:sz w:val="24"/>
        </w:rPr>
      </w:pPr>
      <w:r>
        <w:rPr>
          <w:rFonts w:cs="Times New Roman" w:hint="eastAsia"/>
          <w:b/>
          <w:sz w:val="24"/>
        </w:rPr>
        <w:t>图</w:t>
      </w:r>
      <w:r>
        <w:rPr>
          <w:rFonts w:cs="Times New Roman" w:hint="eastAsia"/>
          <w:b/>
          <w:sz w:val="24"/>
        </w:rPr>
        <w:t xml:space="preserve">3.3-2 </w:t>
      </w:r>
      <w:r>
        <w:rPr>
          <w:rFonts w:cs="Times New Roman" w:hint="eastAsia"/>
          <w:b/>
          <w:sz w:val="24"/>
        </w:rPr>
        <w:t>康巴什区</w:t>
      </w:r>
      <w:r>
        <w:rPr>
          <w:rFonts w:cs="Times New Roman" w:hint="eastAsia"/>
          <w:b/>
          <w:sz w:val="24"/>
        </w:rPr>
        <w:t>100</w:t>
      </w:r>
      <w:r>
        <w:rPr>
          <w:rFonts w:cs="Times New Roman" w:hint="eastAsia"/>
          <w:b/>
          <w:sz w:val="24"/>
        </w:rPr>
        <w:t>米高度风功率密度分布图（数据来源：</w:t>
      </w:r>
      <w:r>
        <w:rPr>
          <w:rFonts w:cs="Times New Roman" w:hint="eastAsia"/>
          <w:b/>
          <w:sz w:val="24"/>
        </w:rPr>
        <w:t>Merra2</w:t>
      </w:r>
      <w:r>
        <w:rPr>
          <w:rFonts w:cs="Times New Roman" w:hint="eastAsia"/>
          <w:b/>
          <w:sz w:val="24"/>
        </w:rPr>
        <w:t>）</w:t>
      </w:r>
    </w:p>
    <w:p w14:paraId="3CAC69EE" w14:textId="77777777" w:rsidR="00A739F2" w:rsidRDefault="00597D48">
      <w:pPr>
        <w:rPr>
          <w:rFonts w:cs="Times New Roman"/>
        </w:rPr>
      </w:pPr>
      <w:r>
        <w:rPr>
          <w:rFonts w:cs="Times New Roman" w:hint="eastAsia"/>
        </w:rPr>
        <w:t>（</w:t>
      </w:r>
      <w:r>
        <w:rPr>
          <w:rFonts w:cs="Times New Roman" w:hint="eastAsia"/>
        </w:rPr>
        <w:t>3</w:t>
      </w:r>
      <w:r>
        <w:rPr>
          <w:rFonts w:cs="Times New Roman" w:hint="eastAsia"/>
        </w:rPr>
        <w:t>）风资源分析</w:t>
      </w:r>
    </w:p>
    <w:p w14:paraId="3D689525" w14:textId="77777777" w:rsidR="00A739F2" w:rsidRDefault="00597D48">
      <w:pPr>
        <w:rPr>
          <w:rFonts w:cs="方正仿宋_GB2312"/>
        </w:rPr>
      </w:pPr>
      <w:r>
        <w:rPr>
          <w:rFonts w:cs="方正仿宋_GB2312" w:hint="eastAsia"/>
        </w:rPr>
        <w:t>1</w:t>
      </w:r>
      <w:r>
        <w:rPr>
          <w:rFonts w:cs="方正仿宋_GB2312" w:hint="eastAsia"/>
        </w:rPr>
        <w:t>）风速和风功率</w:t>
      </w:r>
    </w:p>
    <w:p w14:paraId="702E836E" w14:textId="77777777" w:rsidR="00A739F2" w:rsidRDefault="00597D48">
      <w:pPr>
        <w:rPr>
          <w:rFonts w:cs="仿宋_GB2312"/>
        </w:rPr>
      </w:pPr>
      <w:r>
        <w:rPr>
          <w:rFonts w:cs="方正仿宋_GB2312" w:hint="eastAsia"/>
        </w:rPr>
        <w:t>100m</w:t>
      </w:r>
      <w:r>
        <w:rPr>
          <w:rFonts w:cs="方正仿宋_GB2312" w:hint="eastAsia"/>
        </w:rPr>
        <w:t>高度风速和风功率密度年内变化曲线见下图，风速与风功率年内变化</w:t>
      </w:r>
      <w:r>
        <w:rPr>
          <w:rFonts w:cs="方正仿宋_GB2312" w:hint="eastAsia"/>
        </w:rPr>
        <w:t>见下表。由表中数据可以看出，</w:t>
      </w:r>
      <w:r>
        <w:rPr>
          <w:rFonts w:cs="仿宋_GB2312" w:hint="eastAsia"/>
        </w:rPr>
        <w:t>2-6</w:t>
      </w:r>
      <w:r>
        <w:rPr>
          <w:rFonts w:cs="仿宋_GB2312" w:hint="eastAsia"/>
        </w:rPr>
        <w:t>月风速及风功率密度较大，其他各月相对较小。</w:t>
      </w:r>
    </w:p>
    <w:p w14:paraId="43750EBE" w14:textId="77777777" w:rsidR="00A739F2" w:rsidRDefault="00597D48">
      <w:pPr>
        <w:spacing w:beforeLines="50" w:before="156" w:afterLines="50" w:after="156"/>
        <w:ind w:firstLine="482"/>
        <w:jc w:val="center"/>
        <w:rPr>
          <w:rFonts w:cs="仿宋_GB2312"/>
          <w:b/>
          <w:color w:val="000000" w:themeColor="text1"/>
          <w:sz w:val="24"/>
          <w:szCs w:val="24"/>
        </w:rPr>
      </w:pPr>
      <w:bookmarkStart w:id="114" w:name="_Ref19634870"/>
      <w:r>
        <w:rPr>
          <w:rFonts w:cs="仿宋_GB2312" w:hint="eastAsia"/>
          <w:b/>
          <w:color w:val="000000" w:themeColor="text1"/>
          <w:sz w:val="24"/>
          <w:szCs w:val="24"/>
        </w:rPr>
        <w:t>表</w:t>
      </w:r>
      <w:bookmarkEnd w:id="114"/>
      <w:r>
        <w:rPr>
          <w:rFonts w:cs="仿宋_GB2312" w:hint="eastAsia"/>
          <w:b/>
          <w:color w:val="000000" w:themeColor="text1"/>
          <w:sz w:val="24"/>
          <w:szCs w:val="24"/>
        </w:rPr>
        <w:t>3.3-1   100m</w:t>
      </w:r>
      <w:r>
        <w:rPr>
          <w:rFonts w:cs="仿宋_GB2312" w:hint="eastAsia"/>
          <w:b/>
          <w:color w:val="000000" w:themeColor="text1"/>
          <w:sz w:val="24"/>
          <w:szCs w:val="24"/>
        </w:rPr>
        <w:t>高度月平均风速、风功率密度统计表</w:t>
      </w:r>
    </w:p>
    <w:p w14:paraId="7CC36B8E" w14:textId="77777777" w:rsidR="00A739F2" w:rsidRDefault="00597D48">
      <w:pPr>
        <w:ind w:firstLine="480"/>
        <w:jc w:val="right"/>
        <w:rPr>
          <w:rFonts w:cs="仿宋_GB2312"/>
          <w:color w:val="000000" w:themeColor="text1"/>
          <w:sz w:val="24"/>
          <w:szCs w:val="24"/>
        </w:rPr>
      </w:pPr>
      <w:r>
        <w:rPr>
          <w:rFonts w:cs="仿宋_GB2312" w:hint="eastAsia"/>
          <w:color w:val="000000" w:themeColor="text1"/>
          <w:sz w:val="24"/>
          <w:szCs w:val="24"/>
        </w:rPr>
        <w:t>单位：风速：</w:t>
      </w:r>
      <w:r>
        <w:rPr>
          <w:rFonts w:cs="仿宋_GB2312" w:hint="eastAsia"/>
          <w:color w:val="000000" w:themeColor="text1"/>
          <w:sz w:val="24"/>
          <w:szCs w:val="24"/>
        </w:rPr>
        <w:t>m/s</w:t>
      </w:r>
      <w:r>
        <w:rPr>
          <w:rFonts w:cs="仿宋_GB2312" w:hint="eastAsia"/>
          <w:color w:val="000000" w:themeColor="text1"/>
          <w:sz w:val="24"/>
          <w:szCs w:val="24"/>
        </w:rPr>
        <w:t>；风功率密度：</w:t>
      </w:r>
      <w:r>
        <w:rPr>
          <w:rFonts w:cs="仿宋_GB2312" w:hint="eastAsia"/>
          <w:color w:val="000000" w:themeColor="text1"/>
          <w:sz w:val="24"/>
          <w:szCs w:val="24"/>
        </w:rPr>
        <w:t>W/m</w:t>
      </w:r>
      <w:r>
        <w:rPr>
          <w:rFonts w:cs="仿宋_GB2312" w:hint="eastAsia"/>
          <w:color w:val="000000" w:themeColor="text1"/>
          <w:sz w:val="24"/>
          <w:szCs w:val="24"/>
        </w:rPr>
        <w:t>²</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719"/>
        <w:gridCol w:w="751"/>
        <w:gridCol w:w="603"/>
        <w:gridCol w:w="603"/>
        <w:gridCol w:w="602"/>
        <w:gridCol w:w="602"/>
        <w:gridCol w:w="602"/>
        <w:gridCol w:w="602"/>
        <w:gridCol w:w="602"/>
        <w:gridCol w:w="602"/>
        <w:gridCol w:w="707"/>
        <w:gridCol w:w="707"/>
        <w:gridCol w:w="707"/>
        <w:gridCol w:w="652"/>
      </w:tblGrid>
      <w:tr w:rsidR="00A739F2" w14:paraId="2B94A5DE" w14:textId="77777777">
        <w:trPr>
          <w:trHeight w:val="20"/>
          <w:tblHeader/>
          <w:jc w:val="center"/>
        </w:trPr>
        <w:tc>
          <w:tcPr>
            <w:tcW w:w="396" w:type="pct"/>
            <w:tcBorders>
              <w:tl2br w:val="nil"/>
              <w:tr2bl w:val="nil"/>
            </w:tcBorders>
            <w:shd w:val="clear" w:color="auto" w:fill="auto"/>
            <w:noWrap/>
            <w:vAlign w:val="center"/>
          </w:tcPr>
          <w:p w14:paraId="7002334C" w14:textId="77777777" w:rsidR="00A739F2" w:rsidRDefault="00597D48">
            <w:pPr>
              <w:ind w:firstLineChars="0" w:firstLine="0"/>
              <w:jc w:val="left"/>
              <w:rPr>
                <w:rFonts w:cs="仿宋_GB2312"/>
                <w:kern w:val="0"/>
                <w:sz w:val="21"/>
                <w:szCs w:val="21"/>
              </w:rPr>
            </w:pPr>
            <w:bookmarkStart w:id="115" w:name="OLE_LINK36"/>
            <w:r>
              <w:rPr>
                <w:rFonts w:cs="仿宋_GB2312" w:hint="eastAsia"/>
                <w:kern w:val="0"/>
                <w:sz w:val="21"/>
                <w:szCs w:val="21"/>
              </w:rPr>
              <w:t>项目</w:t>
            </w:r>
          </w:p>
        </w:tc>
        <w:tc>
          <w:tcPr>
            <w:tcW w:w="414" w:type="pct"/>
            <w:tcBorders>
              <w:tl2br w:val="nil"/>
              <w:tr2bl w:val="nil"/>
            </w:tcBorders>
            <w:shd w:val="clear" w:color="auto" w:fill="auto"/>
            <w:noWrap/>
            <w:vAlign w:val="center"/>
          </w:tcPr>
          <w:p w14:paraId="1F76EF9C" w14:textId="77777777" w:rsidR="00A739F2" w:rsidRDefault="00597D48">
            <w:pPr>
              <w:ind w:firstLineChars="0" w:firstLine="0"/>
              <w:jc w:val="left"/>
              <w:rPr>
                <w:rFonts w:cs="仿宋_GB2312"/>
                <w:kern w:val="0"/>
                <w:sz w:val="21"/>
                <w:szCs w:val="21"/>
              </w:rPr>
            </w:pPr>
            <w:r>
              <w:rPr>
                <w:rFonts w:cs="仿宋_GB2312" w:hint="eastAsia"/>
                <w:kern w:val="0"/>
                <w:sz w:val="21"/>
                <w:szCs w:val="21"/>
              </w:rPr>
              <w:t>1</w:t>
            </w:r>
            <w:r>
              <w:rPr>
                <w:rFonts w:cs="仿宋_GB2312" w:hint="eastAsia"/>
                <w:kern w:val="0"/>
                <w:sz w:val="21"/>
                <w:szCs w:val="21"/>
              </w:rPr>
              <w:t>月</w:t>
            </w:r>
          </w:p>
        </w:tc>
        <w:tc>
          <w:tcPr>
            <w:tcW w:w="332" w:type="pct"/>
            <w:tcBorders>
              <w:tl2br w:val="nil"/>
              <w:tr2bl w:val="nil"/>
            </w:tcBorders>
            <w:shd w:val="clear" w:color="auto" w:fill="auto"/>
            <w:noWrap/>
            <w:vAlign w:val="center"/>
          </w:tcPr>
          <w:p w14:paraId="30D2F709" w14:textId="77777777" w:rsidR="00A739F2" w:rsidRDefault="00597D48">
            <w:pPr>
              <w:ind w:firstLineChars="0" w:firstLine="0"/>
              <w:jc w:val="left"/>
              <w:rPr>
                <w:rFonts w:cs="仿宋_GB2312"/>
                <w:kern w:val="0"/>
                <w:sz w:val="21"/>
                <w:szCs w:val="21"/>
              </w:rPr>
            </w:pPr>
            <w:r>
              <w:rPr>
                <w:rFonts w:cs="仿宋_GB2312" w:hint="eastAsia"/>
                <w:kern w:val="0"/>
                <w:sz w:val="21"/>
                <w:szCs w:val="21"/>
              </w:rPr>
              <w:t>2</w:t>
            </w:r>
            <w:r>
              <w:rPr>
                <w:rFonts w:cs="仿宋_GB2312" w:hint="eastAsia"/>
                <w:kern w:val="0"/>
                <w:sz w:val="21"/>
                <w:szCs w:val="21"/>
              </w:rPr>
              <w:t>月</w:t>
            </w:r>
          </w:p>
        </w:tc>
        <w:tc>
          <w:tcPr>
            <w:tcW w:w="332" w:type="pct"/>
            <w:tcBorders>
              <w:tl2br w:val="nil"/>
              <w:tr2bl w:val="nil"/>
            </w:tcBorders>
            <w:shd w:val="clear" w:color="auto" w:fill="auto"/>
            <w:noWrap/>
            <w:vAlign w:val="center"/>
          </w:tcPr>
          <w:p w14:paraId="285BD310" w14:textId="77777777" w:rsidR="00A739F2" w:rsidRDefault="00597D48">
            <w:pPr>
              <w:ind w:firstLineChars="0" w:firstLine="0"/>
              <w:jc w:val="left"/>
              <w:rPr>
                <w:rFonts w:cs="仿宋_GB2312"/>
                <w:kern w:val="0"/>
                <w:sz w:val="21"/>
                <w:szCs w:val="21"/>
              </w:rPr>
            </w:pPr>
            <w:r>
              <w:rPr>
                <w:rFonts w:cs="仿宋_GB2312" w:hint="eastAsia"/>
                <w:kern w:val="0"/>
                <w:sz w:val="21"/>
                <w:szCs w:val="21"/>
              </w:rPr>
              <w:t>3</w:t>
            </w:r>
            <w:r>
              <w:rPr>
                <w:rFonts w:cs="仿宋_GB2312" w:hint="eastAsia"/>
                <w:kern w:val="0"/>
                <w:sz w:val="21"/>
                <w:szCs w:val="21"/>
              </w:rPr>
              <w:t>月</w:t>
            </w:r>
          </w:p>
        </w:tc>
        <w:tc>
          <w:tcPr>
            <w:tcW w:w="332" w:type="pct"/>
            <w:tcBorders>
              <w:tl2br w:val="nil"/>
              <w:tr2bl w:val="nil"/>
            </w:tcBorders>
            <w:shd w:val="clear" w:color="auto" w:fill="auto"/>
            <w:noWrap/>
            <w:vAlign w:val="center"/>
          </w:tcPr>
          <w:p w14:paraId="65BCC887" w14:textId="77777777" w:rsidR="00A739F2" w:rsidRDefault="00597D48">
            <w:pPr>
              <w:ind w:firstLineChars="0" w:firstLine="0"/>
              <w:jc w:val="left"/>
              <w:rPr>
                <w:rFonts w:cs="仿宋_GB2312"/>
                <w:kern w:val="0"/>
                <w:sz w:val="21"/>
                <w:szCs w:val="21"/>
              </w:rPr>
            </w:pPr>
            <w:r>
              <w:rPr>
                <w:rFonts w:cs="仿宋_GB2312" w:hint="eastAsia"/>
                <w:kern w:val="0"/>
                <w:sz w:val="21"/>
                <w:szCs w:val="21"/>
              </w:rPr>
              <w:t>4</w:t>
            </w:r>
            <w:r>
              <w:rPr>
                <w:rFonts w:cs="仿宋_GB2312" w:hint="eastAsia"/>
                <w:kern w:val="0"/>
                <w:sz w:val="21"/>
                <w:szCs w:val="21"/>
              </w:rPr>
              <w:t>月</w:t>
            </w:r>
          </w:p>
        </w:tc>
        <w:tc>
          <w:tcPr>
            <w:tcW w:w="332" w:type="pct"/>
            <w:tcBorders>
              <w:tl2br w:val="nil"/>
              <w:tr2bl w:val="nil"/>
            </w:tcBorders>
            <w:shd w:val="clear" w:color="auto" w:fill="auto"/>
            <w:noWrap/>
            <w:vAlign w:val="center"/>
          </w:tcPr>
          <w:p w14:paraId="1665DA55" w14:textId="77777777" w:rsidR="00A739F2" w:rsidRDefault="00597D48">
            <w:pPr>
              <w:ind w:firstLineChars="0" w:firstLine="0"/>
              <w:jc w:val="left"/>
              <w:rPr>
                <w:rFonts w:cs="仿宋_GB2312"/>
                <w:kern w:val="0"/>
                <w:sz w:val="21"/>
                <w:szCs w:val="21"/>
              </w:rPr>
            </w:pPr>
            <w:r>
              <w:rPr>
                <w:rFonts w:cs="仿宋_GB2312" w:hint="eastAsia"/>
                <w:kern w:val="0"/>
                <w:sz w:val="21"/>
                <w:szCs w:val="21"/>
              </w:rPr>
              <w:t>5</w:t>
            </w:r>
            <w:r>
              <w:rPr>
                <w:rFonts w:cs="仿宋_GB2312" w:hint="eastAsia"/>
                <w:kern w:val="0"/>
                <w:sz w:val="21"/>
                <w:szCs w:val="21"/>
              </w:rPr>
              <w:t>月</w:t>
            </w:r>
          </w:p>
        </w:tc>
        <w:tc>
          <w:tcPr>
            <w:tcW w:w="332" w:type="pct"/>
            <w:tcBorders>
              <w:tl2br w:val="nil"/>
              <w:tr2bl w:val="nil"/>
            </w:tcBorders>
            <w:shd w:val="clear" w:color="auto" w:fill="auto"/>
            <w:noWrap/>
            <w:vAlign w:val="center"/>
          </w:tcPr>
          <w:p w14:paraId="5C75A8F2" w14:textId="77777777" w:rsidR="00A739F2" w:rsidRDefault="00597D48">
            <w:pPr>
              <w:ind w:firstLineChars="0" w:firstLine="0"/>
              <w:jc w:val="left"/>
              <w:rPr>
                <w:rFonts w:cs="仿宋_GB2312"/>
                <w:kern w:val="0"/>
                <w:sz w:val="21"/>
                <w:szCs w:val="21"/>
              </w:rPr>
            </w:pPr>
            <w:r>
              <w:rPr>
                <w:rFonts w:cs="仿宋_GB2312" w:hint="eastAsia"/>
                <w:kern w:val="0"/>
                <w:sz w:val="21"/>
                <w:szCs w:val="21"/>
              </w:rPr>
              <w:t>6</w:t>
            </w:r>
            <w:r>
              <w:rPr>
                <w:rFonts w:cs="仿宋_GB2312" w:hint="eastAsia"/>
                <w:kern w:val="0"/>
                <w:sz w:val="21"/>
                <w:szCs w:val="21"/>
              </w:rPr>
              <w:t>月</w:t>
            </w:r>
          </w:p>
        </w:tc>
        <w:tc>
          <w:tcPr>
            <w:tcW w:w="332" w:type="pct"/>
            <w:tcBorders>
              <w:tl2br w:val="nil"/>
              <w:tr2bl w:val="nil"/>
            </w:tcBorders>
            <w:shd w:val="clear" w:color="auto" w:fill="auto"/>
            <w:noWrap/>
            <w:vAlign w:val="center"/>
          </w:tcPr>
          <w:p w14:paraId="28DF435A" w14:textId="77777777" w:rsidR="00A739F2" w:rsidRDefault="00597D48">
            <w:pPr>
              <w:ind w:firstLineChars="0" w:firstLine="0"/>
              <w:jc w:val="left"/>
              <w:rPr>
                <w:rFonts w:cs="仿宋_GB2312"/>
                <w:kern w:val="0"/>
                <w:sz w:val="21"/>
                <w:szCs w:val="21"/>
              </w:rPr>
            </w:pPr>
            <w:r>
              <w:rPr>
                <w:rFonts w:cs="仿宋_GB2312" w:hint="eastAsia"/>
                <w:kern w:val="0"/>
                <w:sz w:val="21"/>
                <w:szCs w:val="21"/>
              </w:rPr>
              <w:t>7</w:t>
            </w:r>
            <w:r>
              <w:rPr>
                <w:rFonts w:cs="仿宋_GB2312" w:hint="eastAsia"/>
                <w:kern w:val="0"/>
                <w:sz w:val="21"/>
                <w:szCs w:val="21"/>
              </w:rPr>
              <w:t>月</w:t>
            </w:r>
          </w:p>
        </w:tc>
        <w:tc>
          <w:tcPr>
            <w:tcW w:w="332" w:type="pct"/>
            <w:tcBorders>
              <w:tl2br w:val="nil"/>
              <w:tr2bl w:val="nil"/>
            </w:tcBorders>
            <w:shd w:val="clear" w:color="auto" w:fill="auto"/>
            <w:noWrap/>
            <w:vAlign w:val="center"/>
          </w:tcPr>
          <w:p w14:paraId="18279BB4" w14:textId="77777777" w:rsidR="00A739F2" w:rsidRDefault="00597D48">
            <w:pPr>
              <w:ind w:firstLineChars="0" w:firstLine="0"/>
              <w:jc w:val="left"/>
              <w:rPr>
                <w:rFonts w:cs="仿宋_GB2312"/>
                <w:kern w:val="0"/>
                <w:sz w:val="21"/>
                <w:szCs w:val="21"/>
              </w:rPr>
            </w:pPr>
            <w:r>
              <w:rPr>
                <w:rFonts w:cs="仿宋_GB2312" w:hint="eastAsia"/>
                <w:kern w:val="0"/>
                <w:sz w:val="21"/>
                <w:szCs w:val="21"/>
              </w:rPr>
              <w:t>8</w:t>
            </w:r>
            <w:r>
              <w:rPr>
                <w:rFonts w:cs="仿宋_GB2312" w:hint="eastAsia"/>
                <w:kern w:val="0"/>
                <w:sz w:val="21"/>
                <w:szCs w:val="21"/>
              </w:rPr>
              <w:t>月</w:t>
            </w:r>
          </w:p>
        </w:tc>
        <w:tc>
          <w:tcPr>
            <w:tcW w:w="332" w:type="pct"/>
            <w:tcBorders>
              <w:tl2br w:val="nil"/>
              <w:tr2bl w:val="nil"/>
            </w:tcBorders>
            <w:shd w:val="clear" w:color="auto" w:fill="auto"/>
            <w:noWrap/>
            <w:vAlign w:val="center"/>
          </w:tcPr>
          <w:p w14:paraId="428D1139" w14:textId="77777777" w:rsidR="00A739F2" w:rsidRDefault="00597D48">
            <w:pPr>
              <w:ind w:firstLineChars="0" w:firstLine="0"/>
              <w:jc w:val="left"/>
              <w:rPr>
                <w:rFonts w:cs="仿宋_GB2312"/>
                <w:kern w:val="0"/>
                <w:sz w:val="21"/>
                <w:szCs w:val="21"/>
              </w:rPr>
            </w:pPr>
            <w:r>
              <w:rPr>
                <w:rFonts w:cs="仿宋_GB2312" w:hint="eastAsia"/>
                <w:kern w:val="0"/>
                <w:sz w:val="21"/>
                <w:szCs w:val="21"/>
              </w:rPr>
              <w:t>9</w:t>
            </w:r>
            <w:r>
              <w:rPr>
                <w:rFonts w:cs="仿宋_GB2312" w:hint="eastAsia"/>
                <w:kern w:val="0"/>
                <w:sz w:val="21"/>
                <w:szCs w:val="21"/>
              </w:rPr>
              <w:t>月</w:t>
            </w:r>
          </w:p>
        </w:tc>
        <w:tc>
          <w:tcPr>
            <w:tcW w:w="390" w:type="pct"/>
            <w:tcBorders>
              <w:tl2br w:val="nil"/>
              <w:tr2bl w:val="nil"/>
            </w:tcBorders>
            <w:shd w:val="clear" w:color="auto" w:fill="auto"/>
            <w:noWrap/>
            <w:vAlign w:val="center"/>
          </w:tcPr>
          <w:p w14:paraId="38DA8077" w14:textId="77777777" w:rsidR="00A739F2" w:rsidRDefault="00597D48">
            <w:pPr>
              <w:ind w:firstLineChars="0" w:firstLine="0"/>
              <w:jc w:val="left"/>
              <w:rPr>
                <w:rFonts w:cs="仿宋_GB2312"/>
                <w:kern w:val="0"/>
                <w:sz w:val="21"/>
                <w:szCs w:val="21"/>
              </w:rPr>
            </w:pPr>
            <w:r>
              <w:rPr>
                <w:rFonts w:cs="仿宋_GB2312" w:hint="eastAsia"/>
                <w:kern w:val="0"/>
                <w:sz w:val="21"/>
                <w:szCs w:val="21"/>
              </w:rPr>
              <w:t>10</w:t>
            </w:r>
            <w:r>
              <w:rPr>
                <w:rFonts w:cs="仿宋_GB2312" w:hint="eastAsia"/>
                <w:kern w:val="0"/>
                <w:sz w:val="21"/>
                <w:szCs w:val="21"/>
              </w:rPr>
              <w:t>月</w:t>
            </w:r>
          </w:p>
        </w:tc>
        <w:tc>
          <w:tcPr>
            <w:tcW w:w="390" w:type="pct"/>
            <w:tcBorders>
              <w:tl2br w:val="nil"/>
              <w:tr2bl w:val="nil"/>
            </w:tcBorders>
            <w:shd w:val="clear" w:color="auto" w:fill="auto"/>
            <w:noWrap/>
            <w:vAlign w:val="center"/>
          </w:tcPr>
          <w:p w14:paraId="317F1705" w14:textId="77777777" w:rsidR="00A739F2" w:rsidRDefault="00597D48">
            <w:pPr>
              <w:ind w:firstLineChars="0" w:firstLine="0"/>
              <w:jc w:val="left"/>
              <w:rPr>
                <w:rFonts w:cs="仿宋_GB2312"/>
                <w:kern w:val="0"/>
                <w:sz w:val="21"/>
                <w:szCs w:val="21"/>
              </w:rPr>
            </w:pPr>
            <w:r>
              <w:rPr>
                <w:rFonts w:cs="仿宋_GB2312" w:hint="eastAsia"/>
                <w:kern w:val="0"/>
                <w:sz w:val="21"/>
                <w:szCs w:val="21"/>
              </w:rPr>
              <w:t>11</w:t>
            </w:r>
            <w:r>
              <w:rPr>
                <w:rFonts w:cs="仿宋_GB2312" w:hint="eastAsia"/>
                <w:kern w:val="0"/>
                <w:sz w:val="21"/>
                <w:szCs w:val="21"/>
              </w:rPr>
              <w:t>月</w:t>
            </w:r>
          </w:p>
        </w:tc>
        <w:tc>
          <w:tcPr>
            <w:tcW w:w="390" w:type="pct"/>
            <w:tcBorders>
              <w:tl2br w:val="nil"/>
              <w:tr2bl w:val="nil"/>
            </w:tcBorders>
            <w:shd w:val="clear" w:color="auto" w:fill="auto"/>
            <w:noWrap/>
            <w:vAlign w:val="center"/>
          </w:tcPr>
          <w:p w14:paraId="73A2E0B9" w14:textId="77777777" w:rsidR="00A739F2" w:rsidRDefault="00597D48">
            <w:pPr>
              <w:ind w:firstLineChars="0" w:firstLine="0"/>
              <w:jc w:val="left"/>
              <w:rPr>
                <w:rFonts w:cs="仿宋_GB2312"/>
                <w:kern w:val="0"/>
                <w:sz w:val="21"/>
                <w:szCs w:val="21"/>
              </w:rPr>
            </w:pPr>
            <w:r>
              <w:rPr>
                <w:rFonts w:cs="仿宋_GB2312" w:hint="eastAsia"/>
                <w:kern w:val="0"/>
                <w:sz w:val="21"/>
                <w:szCs w:val="21"/>
              </w:rPr>
              <w:t>12</w:t>
            </w:r>
            <w:r>
              <w:rPr>
                <w:rFonts w:cs="仿宋_GB2312" w:hint="eastAsia"/>
                <w:kern w:val="0"/>
                <w:sz w:val="21"/>
                <w:szCs w:val="21"/>
              </w:rPr>
              <w:t>月</w:t>
            </w:r>
          </w:p>
        </w:tc>
        <w:tc>
          <w:tcPr>
            <w:tcW w:w="360" w:type="pct"/>
            <w:tcBorders>
              <w:tl2br w:val="nil"/>
              <w:tr2bl w:val="nil"/>
            </w:tcBorders>
            <w:shd w:val="clear" w:color="auto" w:fill="auto"/>
            <w:noWrap/>
            <w:vAlign w:val="center"/>
          </w:tcPr>
          <w:p w14:paraId="4A94051A" w14:textId="77777777" w:rsidR="00A739F2" w:rsidRDefault="00597D48">
            <w:pPr>
              <w:ind w:firstLineChars="0" w:firstLine="0"/>
              <w:jc w:val="left"/>
              <w:rPr>
                <w:rFonts w:cs="仿宋_GB2312"/>
                <w:kern w:val="0"/>
                <w:sz w:val="21"/>
                <w:szCs w:val="21"/>
              </w:rPr>
            </w:pPr>
            <w:r>
              <w:rPr>
                <w:rFonts w:cs="仿宋_GB2312" w:hint="eastAsia"/>
                <w:kern w:val="0"/>
                <w:sz w:val="21"/>
                <w:szCs w:val="21"/>
              </w:rPr>
              <w:t>年均</w:t>
            </w:r>
          </w:p>
        </w:tc>
      </w:tr>
      <w:tr w:rsidR="00A739F2" w14:paraId="73495C14" w14:textId="77777777">
        <w:trPr>
          <w:trHeight w:val="20"/>
          <w:jc w:val="center"/>
        </w:trPr>
        <w:tc>
          <w:tcPr>
            <w:tcW w:w="396" w:type="pct"/>
            <w:tcBorders>
              <w:tl2br w:val="nil"/>
              <w:tr2bl w:val="nil"/>
            </w:tcBorders>
            <w:shd w:val="clear" w:color="auto" w:fill="auto"/>
            <w:noWrap/>
            <w:vAlign w:val="center"/>
          </w:tcPr>
          <w:p w14:paraId="00ABECF3" w14:textId="77777777" w:rsidR="00A739F2" w:rsidRDefault="00597D48">
            <w:pPr>
              <w:ind w:firstLineChars="0" w:firstLine="0"/>
              <w:jc w:val="center"/>
              <w:rPr>
                <w:rFonts w:cs="仿宋_GB2312"/>
                <w:kern w:val="0"/>
                <w:sz w:val="21"/>
                <w:szCs w:val="21"/>
              </w:rPr>
            </w:pPr>
            <w:r>
              <w:rPr>
                <w:rFonts w:cs="仿宋_GB2312" w:hint="eastAsia"/>
                <w:kern w:val="0"/>
                <w:sz w:val="21"/>
                <w:szCs w:val="21"/>
              </w:rPr>
              <w:t>风速</w:t>
            </w:r>
          </w:p>
        </w:tc>
        <w:tc>
          <w:tcPr>
            <w:tcW w:w="706" w:type="dxa"/>
            <w:tcBorders>
              <w:tl2br w:val="nil"/>
              <w:tr2bl w:val="nil"/>
            </w:tcBorders>
            <w:shd w:val="clear" w:color="auto" w:fill="auto"/>
            <w:noWrap/>
            <w:vAlign w:val="center"/>
          </w:tcPr>
          <w:p w14:paraId="5EADDBB3" w14:textId="77777777" w:rsidR="00A739F2" w:rsidRDefault="00597D48">
            <w:pPr>
              <w:widowControl/>
              <w:ind w:firstLineChars="0" w:firstLine="0"/>
              <w:jc w:val="center"/>
              <w:textAlignment w:val="center"/>
              <w:rPr>
                <w:rFonts w:cs="仿宋_GB2312"/>
                <w:kern w:val="0"/>
                <w:sz w:val="21"/>
                <w:szCs w:val="21"/>
              </w:rPr>
            </w:pPr>
            <w:r>
              <w:rPr>
                <w:rFonts w:cs="Times New Roman"/>
                <w:color w:val="000000"/>
                <w:kern w:val="0"/>
                <w:sz w:val="21"/>
                <w:szCs w:val="21"/>
                <w:lang w:bidi="ar"/>
              </w:rPr>
              <w:t xml:space="preserve">4.5 </w:t>
            </w:r>
          </w:p>
        </w:tc>
        <w:tc>
          <w:tcPr>
            <w:tcW w:w="566" w:type="dxa"/>
            <w:tcBorders>
              <w:tl2br w:val="nil"/>
              <w:tr2bl w:val="nil"/>
            </w:tcBorders>
            <w:shd w:val="clear" w:color="auto" w:fill="auto"/>
            <w:noWrap/>
            <w:vAlign w:val="center"/>
          </w:tcPr>
          <w:p w14:paraId="4ED24F6C" w14:textId="77777777" w:rsidR="00A739F2" w:rsidRDefault="00597D48">
            <w:pPr>
              <w:widowControl/>
              <w:ind w:firstLineChars="0" w:firstLine="0"/>
              <w:jc w:val="center"/>
              <w:textAlignment w:val="center"/>
              <w:rPr>
                <w:rFonts w:cs="仿宋_GB2312"/>
                <w:kern w:val="0"/>
                <w:sz w:val="21"/>
                <w:szCs w:val="21"/>
              </w:rPr>
            </w:pPr>
            <w:r>
              <w:rPr>
                <w:rFonts w:cs="Times New Roman"/>
                <w:color w:val="000000"/>
                <w:kern w:val="0"/>
                <w:sz w:val="21"/>
                <w:szCs w:val="21"/>
                <w:lang w:bidi="ar"/>
              </w:rPr>
              <w:t xml:space="preserve">6.3 </w:t>
            </w:r>
          </w:p>
        </w:tc>
        <w:tc>
          <w:tcPr>
            <w:tcW w:w="566" w:type="dxa"/>
            <w:tcBorders>
              <w:tl2br w:val="nil"/>
              <w:tr2bl w:val="nil"/>
            </w:tcBorders>
            <w:shd w:val="clear" w:color="auto" w:fill="auto"/>
            <w:noWrap/>
            <w:vAlign w:val="center"/>
          </w:tcPr>
          <w:p w14:paraId="753DCF07" w14:textId="77777777" w:rsidR="00A739F2" w:rsidRDefault="00597D48">
            <w:pPr>
              <w:widowControl/>
              <w:ind w:firstLineChars="0" w:firstLine="0"/>
              <w:jc w:val="center"/>
              <w:textAlignment w:val="center"/>
              <w:rPr>
                <w:rFonts w:cs="仿宋_GB2312"/>
                <w:kern w:val="0"/>
                <w:sz w:val="21"/>
                <w:szCs w:val="21"/>
              </w:rPr>
            </w:pPr>
            <w:r>
              <w:rPr>
                <w:rFonts w:cs="Times New Roman"/>
                <w:color w:val="000000"/>
                <w:kern w:val="0"/>
                <w:sz w:val="21"/>
                <w:szCs w:val="21"/>
                <w:lang w:bidi="ar"/>
              </w:rPr>
              <w:t xml:space="preserve">7.5 </w:t>
            </w:r>
          </w:p>
        </w:tc>
        <w:tc>
          <w:tcPr>
            <w:tcW w:w="566" w:type="dxa"/>
            <w:tcBorders>
              <w:tl2br w:val="nil"/>
              <w:tr2bl w:val="nil"/>
            </w:tcBorders>
            <w:shd w:val="clear" w:color="auto" w:fill="auto"/>
            <w:noWrap/>
            <w:vAlign w:val="center"/>
          </w:tcPr>
          <w:p w14:paraId="5F3C35DA" w14:textId="77777777" w:rsidR="00A739F2" w:rsidRDefault="00597D48">
            <w:pPr>
              <w:widowControl/>
              <w:ind w:firstLineChars="0" w:firstLine="0"/>
              <w:jc w:val="center"/>
              <w:textAlignment w:val="center"/>
              <w:rPr>
                <w:rFonts w:cs="仿宋_GB2312"/>
                <w:kern w:val="0"/>
                <w:sz w:val="21"/>
                <w:szCs w:val="21"/>
              </w:rPr>
            </w:pPr>
            <w:r>
              <w:rPr>
                <w:rFonts w:cs="Times New Roman"/>
                <w:color w:val="000000"/>
                <w:kern w:val="0"/>
                <w:sz w:val="21"/>
                <w:szCs w:val="21"/>
                <w:lang w:bidi="ar"/>
              </w:rPr>
              <w:t xml:space="preserve">6.5 </w:t>
            </w:r>
          </w:p>
        </w:tc>
        <w:tc>
          <w:tcPr>
            <w:tcW w:w="566" w:type="dxa"/>
            <w:tcBorders>
              <w:tl2br w:val="nil"/>
              <w:tr2bl w:val="nil"/>
            </w:tcBorders>
            <w:shd w:val="clear" w:color="auto" w:fill="auto"/>
            <w:noWrap/>
            <w:vAlign w:val="center"/>
          </w:tcPr>
          <w:p w14:paraId="23EAE535" w14:textId="77777777" w:rsidR="00A739F2" w:rsidRDefault="00597D48">
            <w:pPr>
              <w:widowControl/>
              <w:ind w:firstLineChars="0" w:firstLine="0"/>
              <w:jc w:val="center"/>
              <w:textAlignment w:val="center"/>
              <w:rPr>
                <w:rFonts w:cs="仿宋_GB2312"/>
                <w:kern w:val="0"/>
                <w:sz w:val="21"/>
                <w:szCs w:val="21"/>
              </w:rPr>
            </w:pPr>
            <w:r>
              <w:rPr>
                <w:rFonts w:cs="Times New Roman"/>
                <w:color w:val="000000"/>
                <w:kern w:val="0"/>
                <w:sz w:val="21"/>
                <w:szCs w:val="21"/>
                <w:lang w:bidi="ar"/>
              </w:rPr>
              <w:t xml:space="preserve">7.3 </w:t>
            </w:r>
          </w:p>
        </w:tc>
        <w:tc>
          <w:tcPr>
            <w:tcW w:w="566" w:type="dxa"/>
            <w:tcBorders>
              <w:tl2br w:val="nil"/>
              <w:tr2bl w:val="nil"/>
            </w:tcBorders>
            <w:shd w:val="clear" w:color="auto" w:fill="auto"/>
            <w:noWrap/>
            <w:vAlign w:val="center"/>
          </w:tcPr>
          <w:p w14:paraId="0567E325" w14:textId="77777777" w:rsidR="00A739F2" w:rsidRDefault="00597D48">
            <w:pPr>
              <w:widowControl/>
              <w:ind w:firstLineChars="0" w:firstLine="0"/>
              <w:jc w:val="center"/>
              <w:textAlignment w:val="center"/>
              <w:rPr>
                <w:rFonts w:cs="仿宋_GB2312"/>
                <w:kern w:val="0"/>
                <w:sz w:val="21"/>
                <w:szCs w:val="21"/>
              </w:rPr>
            </w:pPr>
            <w:r>
              <w:rPr>
                <w:rFonts w:cs="Times New Roman"/>
                <w:color w:val="000000"/>
                <w:kern w:val="0"/>
                <w:sz w:val="21"/>
                <w:szCs w:val="21"/>
                <w:lang w:bidi="ar"/>
              </w:rPr>
              <w:t xml:space="preserve">5.9 </w:t>
            </w:r>
          </w:p>
        </w:tc>
        <w:tc>
          <w:tcPr>
            <w:tcW w:w="566" w:type="dxa"/>
            <w:tcBorders>
              <w:tl2br w:val="nil"/>
              <w:tr2bl w:val="nil"/>
            </w:tcBorders>
            <w:shd w:val="clear" w:color="auto" w:fill="auto"/>
            <w:noWrap/>
            <w:vAlign w:val="center"/>
          </w:tcPr>
          <w:p w14:paraId="7D81C174" w14:textId="77777777" w:rsidR="00A739F2" w:rsidRDefault="00597D48">
            <w:pPr>
              <w:widowControl/>
              <w:ind w:firstLineChars="0" w:firstLine="0"/>
              <w:jc w:val="center"/>
              <w:textAlignment w:val="center"/>
              <w:rPr>
                <w:rFonts w:cs="仿宋_GB2312"/>
                <w:kern w:val="0"/>
                <w:sz w:val="21"/>
                <w:szCs w:val="21"/>
              </w:rPr>
            </w:pPr>
            <w:r>
              <w:rPr>
                <w:rFonts w:cs="Times New Roman"/>
                <w:color w:val="000000"/>
                <w:kern w:val="0"/>
                <w:sz w:val="21"/>
                <w:szCs w:val="21"/>
                <w:lang w:bidi="ar"/>
              </w:rPr>
              <w:t xml:space="preserve">5.2 </w:t>
            </w:r>
          </w:p>
        </w:tc>
        <w:tc>
          <w:tcPr>
            <w:tcW w:w="566" w:type="dxa"/>
            <w:tcBorders>
              <w:tl2br w:val="nil"/>
              <w:tr2bl w:val="nil"/>
            </w:tcBorders>
            <w:shd w:val="clear" w:color="auto" w:fill="auto"/>
            <w:noWrap/>
            <w:vAlign w:val="center"/>
          </w:tcPr>
          <w:p w14:paraId="75E77620" w14:textId="77777777" w:rsidR="00A739F2" w:rsidRDefault="00597D48">
            <w:pPr>
              <w:widowControl/>
              <w:ind w:firstLineChars="0" w:firstLine="0"/>
              <w:jc w:val="center"/>
              <w:textAlignment w:val="center"/>
              <w:rPr>
                <w:rFonts w:cs="仿宋_GB2312"/>
                <w:kern w:val="0"/>
                <w:sz w:val="21"/>
                <w:szCs w:val="21"/>
              </w:rPr>
            </w:pPr>
            <w:r>
              <w:rPr>
                <w:rFonts w:cs="Times New Roman"/>
                <w:color w:val="000000"/>
                <w:kern w:val="0"/>
                <w:sz w:val="21"/>
                <w:szCs w:val="21"/>
                <w:lang w:bidi="ar"/>
              </w:rPr>
              <w:t xml:space="preserve">5.6 </w:t>
            </w:r>
          </w:p>
        </w:tc>
        <w:tc>
          <w:tcPr>
            <w:tcW w:w="566" w:type="dxa"/>
            <w:tcBorders>
              <w:tl2br w:val="nil"/>
              <w:tr2bl w:val="nil"/>
            </w:tcBorders>
            <w:shd w:val="clear" w:color="auto" w:fill="auto"/>
            <w:noWrap/>
            <w:vAlign w:val="center"/>
          </w:tcPr>
          <w:p w14:paraId="4BAB948C" w14:textId="77777777" w:rsidR="00A739F2" w:rsidRDefault="00597D48">
            <w:pPr>
              <w:widowControl/>
              <w:ind w:firstLineChars="0" w:firstLine="0"/>
              <w:jc w:val="center"/>
              <w:textAlignment w:val="center"/>
              <w:rPr>
                <w:rFonts w:cs="仿宋_GB2312"/>
                <w:kern w:val="0"/>
                <w:sz w:val="21"/>
                <w:szCs w:val="21"/>
              </w:rPr>
            </w:pPr>
            <w:r>
              <w:rPr>
                <w:rFonts w:cs="Times New Roman"/>
                <w:color w:val="000000"/>
                <w:kern w:val="0"/>
                <w:sz w:val="21"/>
                <w:szCs w:val="21"/>
                <w:lang w:bidi="ar"/>
              </w:rPr>
              <w:t xml:space="preserve">5.5 </w:t>
            </w:r>
          </w:p>
        </w:tc>
        <w:tc>
          <w:tcPr>
            <w:tcW w:w="666" w:type="dxa"/>
            <w:tcBorders>
              <w:tl2br w:val="nil"/>
              <w:tr2bl w:val="nil"/>
            </w:tcBorders>
            <w:shd w:val="clear" w:color="auto" w:fill="auto"/>
            <w:noWrap/>
            <w:vAlign w:val="center"/>
          </w:tcPr>
          <w:p w14:paraId="106EA07F" w14:textId="77777777" w:rsidR="00A739F2" w:rsidRDefault="00597D48">
            <w:pPr>
              <w:widowControl/>
              <w:ind w:firstLineChars="0" w:firstLine="0"/>
              <w:jc w:val="center"/>
              <w:textAlignment w:val="center"/>
              <w:rPr>
                <w:rFonts w:cs="仿宋_GB2312"/>
                <w:kern w:val="0"/>
                <w:sz w:val="21"/>
                <w:szCs w:val="21"/>
              </w:rPr>
            </w:pPr>
            <w:r>
              <w:rPr>
                <w:rFonts w:cs="Times New Roman"/>
                <w:color w:val="000000"/>
                <w:kern w:val="0"/>
                <w:sz w:val="21"/>
                <w:szCs w:val="21"/>
                <w:lang w:bidi="ar"/>
              </w:rPr>
              <w:t xml:space="preserve">5.9 </w:t>
            </w:r>
          </w:p>
        </w:tc>
        <w:tc>
          <w:tcPr>
            <w:tcW w:w="666" w:type="dxa"/>
            <w:tcBorders>
              <w:tl2br w:val="nil"/>
              <w:tr2bl w:val="nil"/>
            </w:tcBorders>
            <w:shd w:val="clear" w:color="auto" w:fill="auto"/>
            <w:noWrap/>
            <w:vAlign w:val="center"/>
          </w:tcPr>
          <w:p w14:paraId="7F0FCF3F" w14:textId="77777777" w:rsidR="00A739F2" w:rsidRDefault="00597D48">
            <w:pPr>
              <w:widowControl/>
              <w:ind w:firstLineChars="0" w:firstLine="0"/>
              <w:jc w:val="center"/>
              <w:textAlignment w:val="center"/>
              <w:rPr>
                <w:rFonts w:cs="仿宋_GB2312"/>
                <w:kern w:val="0"/>
                <w:sz w:val="21"/>
                <w:szCs w:val="21"/>
              </w:rPr>
            </w:pPr>
            <w:r>
              <w:rPr>
                <w:rFonts w:cs="Times New Roman"/>
                <w:color w:val="000000"/>
                <w:kern w:val="0"/>
                <w:sz w:val="21"/>
                <w:szCs w:val="21"/>
                <w:lang w:bidi="ar"/>
              </w:rPr>
              <w:t xml:space="preserve">5.8 </w:t>
            </w:r>
          </w:p>
        </w:tc>
        <w:tc>
          <w:tcPr>
            <w:tcW w:w="666" w:type="dxa"/>
            <w:tcBorders>
              <w:tl2br w:val="nil"/>
              <w:tr2bl w:val="nil"/>
            </w:tcBorders>
            <w:shd w:val="clear" w:color="auto" w:fill="auto"/>
            <w:noWrap/>
            <w:vAlign w:val="center"/>
          </w:tcPr>
          <w:p w14:paraId="1C8E9D0C" w14:textId="77777777" w:rsidR="00A739F2" w:rsidRDefault="00597D48">
            <w:pPr>
              <w:widowControl/>
              <w:ind w:firstLineChars="0" w:firstLine="0"/>
              <w:jc w:val="center"/>
              <w:textAlignment w:val="center"/>
              <w:rPr>
                <w:rFonts w:cs="仿宋_GB2312"/>
                <w:kern w:val="0"/>
                <w:sz w:val="21"/>
                <w:szCs w:val="21"/>
              </w:rPr>
            </w:pPr>
            <w:r>
              <w:rPr>
                <w:rFonts w:cs="Times New Roman"/>
                <w:color w:val="000000"/>
                <w:kern w:val="0"/>
                <w:sz w:val="21"/>
                <w:szCs w:val="21"/>
                <w:lang w:bidi="ar"/>
              </w:rPr>
              <w:t xml:space="preserve">6.2 </w:t>
            </w:r>
          </w:p>
        </w:tc>
        <w:tc>
          <w:tcPr>
            <w:tcW w:w="615" w:type="dxa"/>
            <w:tcBorders>
              <w:tl2br w:val="nil"/>
              <w:tr2bl w:val="nil"/>
            </w:tcBorders>
            <w:shd w:val="clear" w:color="auto" w:fill="auto"/>
            <w:noWrap/>
            <w:vAlign w:val="center"/>
          </w:tcPr>
          <w:p w14:paraId="262BA443" w14:textId="77777777" w:rsidR="00A739F2" w:rsidRDefault="00597D48">
            <w:pPr>
              <w:widowControl/>
              <w:ind w:firstLineChars="0" w:firstLine="0"/>
              <w:jc w:val="center"/>
              <w:textAlignment w:val="center"/>
              <w:rPr>
                <w:rFonts w:cs="仿宋_GB2312"/>
                <w:kern w:val="0"/>
                <w:sz w:val="21"/>
                <w:szCs w:val="21"/>
              </w:rPr>
            </w:pPr>
            <w:r>
              <w:rPr>
                <w:rFonts w:cs="Times New Roman"/>
                <w:color w:val="000000"/>
                <w:kern w:val="0"/>
                <w:sz w:val="21"/>
                <w:szCs w:val="21"/>
                <w:lang w:bidi="ar"/>
              </w:rPr>
              <w:t xml:space="preserve">6.0 </w:t>
            </w:r>
          </w:p>
        </w:tc>
      </w:tr>
      <w:tr w:rsidR="00A739F2" w14:paraId="58A9C38A" w14:textId="77777777">
        <w:trPr>
          <w:trHeight w:val="20"/>
          <w:jc w:val="center"/>
        </w:trPr>
        <w:tc>
          <w:tcPr>
            <w:tcW w:w="396" w:type="pct"/>
            <w:tcBorders>
              <w:tl2br w:val="nil"/>
              <w:tr2bl w:val="nil"/>
            </w:tcBorders>
            <w:shd w:val="clear" w:color="auto" w:fill="auto"/>
            <w:noWrap/>
            <w:vAlign w:val="center"/>
          </w:tcPr>
          <w:p w14:paraId="605E5EE1" w14:textId="77777777" w:rsidR="00A739F2" w:rsidRDefault="00597D48">
            <w:pPr>
              <w:ind w:firstLineChars="0" w:firstLine="0"/>
              <w:jc w:val="center"/>
              <w:rPr>
                <w:rFonts w:cs="仿宋_GB2312"/>
                <w:kern w:val="0"/>
                <w:sz w:val="21"/>
                <w:szCs w:val="21"/>
              </w:rPr>
            </w:pPr>
            <w:r>
              <w:rPr>
                <w:rFonts w:cs="仿宋_GB2312" w:hint="eastAsia"/>
                <w:kern w:val="0"/>
                <w:sz w:val="21"/>
                <w:szCs w:val="21"/>
              </w:rPr>
              <w:t>风功率</w:t>
            </w:r>
          </w:p>
        </w:tc>
        <w:tc>
          <w:tcPr>
            <w:tcW w:w="414" w:type="pct"/>
            <w:tcBorders>
              <w:tl2br w:val="nil"/>
              <w:tr2bl w:val="nil"/>
            </w:tcBorders>
            <w:shd w:val="clear" w:color="auto" w:fill="auto"/>
            <w:noWrap/>
            <w:vAlign w:val="center"/>
          </w:tcPr>
          <w:p w14:paraId="1F6AC212" w14:textId="77777777" w:rsidR="00A739F2" w:rsidRDefault="00597D48">
            <w:pPr>
              <w:ind w:firstLineChars="0" w:firstLine="0"/>
              <w:jc w:val="center"/>
              <w:rPr>
                <w:rFonts w:cs="仿宋_GB2312"/>
                <w:kern w:val="0"/>
                <w:sz w:val="21"/>
                <w:szCs w:val="21"/>
              </w:rPr>
            </w:pPr>
            <w:r>
              <w:rPr>
                <w:rFonts w:cs="仿宋_GB2312" w:hint="eastAsia"/>
                <w:kern w:val="0"/>
                <w:sz w:val="21"/>
                <w:szCs w:val="21"/>
              </w:rPr>
              <w:t>88</w:t>
            </w:r>
          </w:p>
        </w:tc>
        <w:tc>
          <w:tcPr>
            <w:tcW w:w="332" w:type="pct"/>
            <w:tcBorders>
              <w:tl2br w:val="nil"/>
              <w:tr2bl w:val="nil"/>
            </w:tcBorders>
            <w:shd w:val="clear" w:color="auto" w:fill="auto"/>
            <w:noWrap/>
            <w:vAlign w:val="center"/>
          </w:tcPr>
          <w:p w14:paraId="5DA3E855" w14:textId="77777777" w:rsidR="00A739F2" w:rsidRDefault="00597D48">
            <w:pPr>
              <w:ind w:firstLineChars="0" w:firstLine="0"/>
              <w:jc w:val="center"/>
              <w:rPr>
                <w:rFonts w:cs="仿宋_GB2312"/>
                <w:kern w:val="0"/>
                <w:sz w:val="21"/>
                <w:szCs w:val="21"/>
              </w:rPr>
            </w:pPr>
            <w:r>
              <w:rPr>
                <w:rFonts w:cs="仿宋_GB2312" w:hint="eastAsia"/>
                <w:kern w:val="0"/>
                <w:sz w:val="21"/>
                <w:szCs w:val="21"/>
              </w:rPr>
              <w:t>214</w:t>
            </w:r>
          </w:p>
        </w:tc>
        <w:tc>
          <w:tcPr>
            <w:tcW w:w="332" w:type="pct"/>
            <w:tcBorders>
              <w:tl2br w:val="nil"/>
              <w:tr2bl w:val="nil"/>
            </w:tcBorders>
            <w:shd w:val="clear" w:color="auto" w:fill="auto"/>
            <w:noWrap/>
            <w:vAlign w:val="center"/>
          </w:tcPr>
          <w:p w14:paraId="7414DCC4" w14:textId="77777777" w:rsidR="00A739F2" w:rsidRDefault="00597D48">
            <w:pPr>
              <w:ind w:firstLineChars="0" w:firstLine="0"/>
              <w:jc w:val="center"/>
              <w:rPr>
                <w:rFonts w:cs="仿宋_GB2312"/>
                <w:kern w:val="0"/>
                <w:sz w:val="21"/>
                <w:szCs w:val="21"/>
              </w:rPr>
            </w:pPr>
            <w:r>
              <w:rPr>
                <w:rFonts w:cs="仿宋_GB2312" w:hint="eastAsia"/>
                <w:kern w:val="0"/>
                <w:sz w:val="21"/>
                <w:szCs w:val="21"/>
              </w:rPr>
              <w:t>322</w:t>
            </w:r>
          </w:p>
        </w:tc>
        <w:tc>
          <w:tcPr>
            <w:tcW w:w="332" w:type="pct"/>
            <w:tcBorders>
              <w:tl2br w:val="nil"/>
              <w:tr2bl w:val="nil"/>
            </w:tcBorders>
            <w:shd w:val="clear" w:color="auto" w:fill="auto"/>
            <w:noWrap/>
            <w:vAlign w:val="center"/>
          </w:tcPr>
          <w:p w14:paraId="5F664DE0" w14:textId="77777777" w:rsidR="00A739F2" w:rsidRDefault="00597D48">
            <w:pPr>
              <w:ind w:firstLineChars="0" w:firstLine="0"/>
              <w:jc w:val="center"/>
              <w:rPr>
                <w:rFonts w:cs="仿宋_GB2312"/>
                <w:kern w:val="0"/>
                <w:sz w:val="21"/>
                <w:szCs w:val="21"/>
              </w:rPr>
            </w:pPr>
            <w:r>
              <w:rPr>
                <w:rFonts w:cs="仿宋_GB2312" w:hint="eastAsia"/>
                <w:kern w:val="0"/>
                <w:sz w:val="21"/>
                <w:szCs w:val="21"/>
              </w:rPr>
              <w:t>250</w:t>
            </w:r>
          </w:p>
        </w:tc>
        <w:tc>
          <w:tcPr>
            <w:tcW w:w="332" w:type="pct"/>
            <w:tcBorders>
              <w:tl2br w:val="nil"/>
              <w:tr2bl w:val="nil"/>
            </w:tcBorders>
            <w:shd w:val="clear" w:color="auto" w:fill="auto"/>
            <w:noWrap/>
            <w:vAlign w:val="center"/>
          </w:tcPr>
          <w:p w14:paraId="72C6822F" w14:textId="77777777" w:rsidR="00A739F2" w:rsidRDefault="00597D48">
            <w:pPr>
              <w:ind w:firstLineChars="0" w:firstLine="0"/>
              <w:jc w:val="center"/>
              <w:rPr>
                <w:rFonts w:cs="仿宋_GB2312"/>
                <w:kern w:val="0"/>
                <w:sz w:val="21"/>
                <w:szCs w:val="21"/>
              </w:rPr>
            </w:pPr>
            <w:r>
              <w:rPr>
                <w:rFonts w:cs="仿宋_GB2312" w:hint="eastAsia"/>
                <w:kern w:val="0"/>
                <w:sz w:val="21"/>
                <w:szCs w:val="21"/>
              </w:rPr>
              <w:t>323</w:t>
            </w:r>
          </w:p>
        </w:tc>
        <w:tc>
          <w:tcPr>
            <w:tcW w:w="332" w:type="pct"/>
            <w:tcBorders>
              <w:tl2br w:val="nil"/>
              <w:tr2bl w:val="nil"/>
            </w:tcBorders>
            <w:shd w:val="clear" w:color="auto" w:fill="auto"/>
            <w:noWrap/>
            <w:vAlign w:val="center"/>
          </w:tcPr>
          <w:p w14:paraId="447D2FEC" w14:textId="77777777" w:rsidR="00A739F2" w:rsidRDefault="00597D48">
            <w:pPr>
              <w:ind w:firstLineChars="0" w:firstLine="0"/>
              <w:jc w:val="center"/>
              <w:rPr>
                <w:rFonts w:cs="仿宋_GB2312"/>
                <w:kern w:val="0"/>
                <w:sz w:val="21"/>
                <w:szCs w:val="21"/>
              </w:rPr>
            </w:pPr>
            <w:r>
              <w:rPr>
                <w:rFonts w:cs="仿宋_GB2312" w:hint="eastAsia"/>
                <w:kern w:val="0"/>
                <w:sz w:val="21"/>
                <w:szCs w:val="21"/>
              </w:rPr>
              <w:t>203</w:t>
            </w:r>
          </w:p>
        </w:tc>
        <w:tc>
          <w:tcPr>
            <w:tcW w:w="332" w:type="pct"/>
            <w:tcBorders>
              <w:tl2br w:val="nil"/>
              <w:tr2bl w:val="nil"/>
            </w:tcBorders>
            <w:shd w:val="clear" w:color="auto" w:fill="auto"/>
            <w:noWrap/>
            <w:vAlign w:val="center"/>
          </w:tcPr>
          <w:p w14:paraId="11A44B7A" w14:textId="77777777" w:rsidR="00A739F2" w:rsidRDefault="00597D48">
            <w:pPr>
              <w:ind w:firstLineChars="0" w:firstLine="0"/>
              <w:jc w:val="center"/>
              <w:rPr>
                <w:rFonts w:cs="仿宋_GB2312"/>
                <w:kern w:val="0"/>
                <w:sz w:val="21"/>
                <w:szCs w:val="21"/>
              </w:rPr>
            </w:pPr>
            <w:r>
              <w:rPr>
                <w:rFonts w:cs="仿宋_GB2312" w:hint="eastAsia"/>
                <w:kern w:val="0"/>
                <w:sz w:val="21"/>
                <w:szCs w:val="21"/>
              </w:rPr>
              <w:t>118</w:t>
            </w:r>
          </w:p>
        </w:tc>
        <w:tc>
          <w:tcPr>
            <w:tcW w:w="332" w:type="pct"/>
            <w:tcBorders>
              <w:tl2br w:val="nil"/>
              <w:tr2bl w:val="nil"/>
            </w:tcBorders>
            <w:shd w:val="clear" w:color="auto" w:fill="auto"/>
            <w:noWrap/>
            <w:vAlign w:val="center"/>
          </w:tcPr>
          <w:p w14:paraId="66F03985" w14:textId="77777777" w:rsidR="00A739F2" w:rsidRDefault="00597D48">
            <w:pPr>
              <w:ind w:firstLineChars="0" w:firstLine="0"/>
              <w:jc w:val="center"/>
              <w:rPr>
                <w:rFonts w:cs="仿宋_GB2312"/>
                <w:kern w:val="0"/>
                <w:sz w:val="21"/>
                <w:szCs w:val="21"/>
              </w:rPr>
            </w:pPr>
            <w:r>
              <w:rPr>
                <w:rFonts w:cs="仿宋_GB2312" w:hint="eastAsia"/>
                <w:kern w:val="0"/>
                <w:sz w:val="21"/>
                <w:szCs w:val="21"/>
              </w:rPr>
              <w:t>138</w:t>
            </w:r>
          </w:p>
        </w:tc>
        <w:tc>
          <w:tcPr>
            <w:tcW w:w="332" w:type="pct"/>
            <w:tcBorders>
              <w:tl2br w:val="nil"/>
              <w:tr2bl w:val="nil"/>
            </w:tcBorders>
            <w:shd w:val="clear" w:color="auto" w:fill="auto"/>
            <w:noWrap/>
            <w:vAlign w:val="center"/>
          </w:tcPr>
          <w:p w14:paraId="28DB97FB" w14:textId="77777777" w:rsidR="00A739F2" w:rsidRDefault="00597D48">
            <w:pPr>
              <w:ind w:firstLineChars="0" w:firstLine="0"/>
              <w:jc w:val="center"/>
              <w:rPr>
                <w:rFonts w:cs="仿宋_GB2312"/>
                <w:kern w:val="0"/>
                <w:sz w:val="21"/>
                <w:szCs w:val="21"/>
              </w:rPr>
            </w:pPr>
            <w:r>
              <w:rPr>
                <w:rFonts w:cs="仿宋_GB2312" w:hint="eastAsia"/>
                <w:kern w:val="0"/>
                <w:sz w:val="21"/>
                <w:szCs w:val="21"/>
              </w:rPr>
              <w:t>129</w:t>
            </w:r>
          </w:p>
        </w:tc>
        <w:tc>
          <w:tcPr>
            <w:tcW w:w="390" w:type="pct"/>
            <w:tcBorders>
              <w:tl2br w:val="nil"/>
              <w:tr2bl w:val="nil"/>
            </w:tcBorders>
            <w:shd w:val="clear" w:color="auto" w:fill="auto"/>
            <w:noWrap/>
            <w:vAlign w:val="center"/>
          </w:tcPr>
          <w:p w14:paraId="0B624AE8" w14:textId="77777777" w:rsidR="00A739F2" w:rsidRDefault="00597D48">
            <w:pPr>
              <w:ind w:firstLineChars="0" w:firstLine="0"/>
              <w:jc w:val="center"/>
              <w:rPr>
                <w:rFonts w:cs="仿宋_GB2312"/>
                <w:kern w:val="0"/>
                <w:sz w:val="21"/>
                <w:szCs w:val="21"/>
              </w:rPr>
            </w:pPr>
            <w:r>
              <w:rPr>
                <w:rFonts w:cs="仿宋_GB2312" w:hint="eastAsia"/>
                <w:kern w:val="0"/>
                <w:sz w:val="21"/>
                <w:szCs w:val="21"/>
              </w:rPr>
              <w:t>168</w:t>
            </w:r>
          </w:p>
        </w:tc>
        <w:tc>
          <w:tcPr>
            <w:tcW w:w="390" w:type="pct"/>
            <w:tcBorders>
              <w:tl2br w:val="nil"/>
              <w:tr2bl w:val="nil"/>
            </w:tcBorders>
            <w:shd w:val="clear" w:color="auto" w:fill="auto"/>
            <w:noWrap/>
            <w:vAlign w:val="center"/>
          </w:tcPr>
          <w:p w14:paraId="54E06E23" w14:textId="77777777" w:rsidR="00A739F2" w:rsidRDefault="00597D48">
            <w:pPr>
              <w:ind w:firstLineChars="0" w:firstLine="0"/>
              <w:jc w:val="center"/>
              <w:rPr>
                <w:rFonts w:cs="仿宋_GB2312"/>
                <w:kern w:val="0"/>
                <w:sz w:val="21"/>
                <w:szCs w:val="21"/>
              </w:rPr>
            </w:pPr>
            <w:r>
              <w:rPr>
                <w:rFonts w:cs="仿宋_GB2312" w:hint="eastAsia"/>
                <w:kern w:val="0"/>
                <w:sz w:val="21"/>
                <w:szCs w:val="21"/>
              </w:rPr>
              <w:t>197</w:t>
            </w:r>
          </w:p>
        </w:tc>
        <w:tc>
          <w:tcPr>
            <w:tcW w:w="390" w:type="pct"/>
            <w:tcBorders>
              <w:tl2br w:val="nil"/>
              <w:tr2bl w:val="nil"/>
            </w:tcBorders>
            <w:shd w:val="clear" w:color="auto" w:fill="auto"/>
            <w:noWrap/>
            <w:vAlign w:val="center"/>
          </w:tcPr>
          <w:p w14:paraId="40EE15F9" w14:textId="77777777" w:rsidR="00A739F2" w:rsidRDefault="00597D48">
            <w:pPr>
              <w:ind w:firstLineChars="0" w:firstLine="0"/>
              <w:jc w:val="center"/>
              <w:rPr>
                <w:rFonts w:cs="仿宋_GB2312"/>
                <w:kern w:val="0"/>
                <w:sz w:val="21"/>
                <w:szCs w:val="21"/>
              </w:rPr>
            </w:pPr>
            <w:r>
              <w:rPr>
                <w:rFonts w:cs="仿宋_GB2312" w:hint="eastAsia"/>
                <w:kern w:val="0"/>
                <w:sz w:val="21"/>
                <w:szCs w:val="21"/>
              </w:rPr>
              <w:t>194</w:t>
            </w:r>
          </w:p>
        </w:tc>
        <w:tc>
          <w:tcPr>
            <w:tcW w:w="360" w:type="pct"/>
            <w:tcBorders>
              <w:tl2br w:val="nil"/>
              <w:tr2bl w:val="nil"/>
            </w:tcBorders>
            <w:shd w:val="clear" w:color="auto" w:fill="auto"/>
            <w:noWrap/>
            <w:vAlign w:val="center"/>
          </w:tcPr>
          <w:p w14:paraId="08CDC275" w14:textId="77777777" w:rsidR="00A739F2" w:rsidRDefault="00597D48">
            <w:pPr>
              <w:ind w:firstLineChars="0" w:firstLine="0"/>
              <w:jc w:val="center"/>
              <w:rPr>
                <w:rFonts w:cs="仿宋_GB2312"/>
                <w:kern w:val="0"/>
                <w:sz w:val="21"/>
                <w:szCs w:val="21"/>
              </w:rPr>
            </w:pPr>
            <w:r>
              <w:rPr>
                <w:rFonts w:cs="仿宋_GB2312" w:hint="eastAsia"/>
                <w:kern w:val="0"/>
                <w:sz w:val="21"/>
                <w:szCs w:val="21"/>
              </w:rPr>
              <w:t>195</w:t>
            </w:r>
          </w:p>
        </w:tc>
      </w:tr>
    </w:tbl>
    <w:bookmarkEnd w:id="115"/>
    <w:p w14:paraId="03BF7874" w14:textId="77777777" w:rsidR="00A739F2" w:rsidRDefault="00597D48">
      <w:pPr>
        <w:widowControl/>
        <w:ind w:firstLineChars="0" w:firstLine="0"/>
        <w:jc w:val="center"/>
        <w:rPr>
          <w:color w:val="000000"/>
          <w:sz w:val="18"/>
          <w:szCs w:val="21"/>
        </w:rPr>
      </w:pPr>
      <w:r>
        <w:rPr>
          <w:noProof/>
        </w:rPr>
        <w:lastRenderedPageBreak/>
        <w:drawing>
          <wp:inline distT="0" distB="0" distL="114300" distR="114300" wp14:anchorId="7143D699" wp14:editId="528C96F4">
            <wp:extent cx="4834255" cy="2694305"/>
            <wp:effectExtent l="0" t="0" r="12065" b="317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18"/>
                    <a:stretch>
                      <a:fillRect/>
                    </a:stretch>
                  </pic:blipFill>
                  <pic:spPr>
                    <a:xfrm>
                      <a:off x="0" y="0"/>
                      <a:ext cx="4834255" cy="2694305"/>
                    </a:xfrm>
                    <a:prstGeom prst="rect">
                      <a:avLst/>
                    </a:prstGeom>
                    <a:noFill/>
                    <a:ln>
                      <a:noFill/>
                    </a:ln>
                  </pic:spPr>
                </pic:pic>
              </a:graphicData>
            </a:graphic>
          </wp:inline>
        </w:drawing>
      </w:r>
    </w:p>
    <w:p w14:paraId="637C9C28"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3.3-3 100m</w:t>
      </w:r>
      <w:r>
        <w:rPr>
          <w:rFonts w:cs="Times New Roman" w:hint="eastAsia"/>
          <w:b/>
          <w:sz w:val="24"/>
        </w:rPr>
        <w:t>高度平均风速和风功率密度年变化曲线</w:t>
      </w:r>
    </w:p>
    <w:p w14:paraId="3E7F9634" w14:textId="77777777" w:rsidR="00A739F2" w:rsidRDefault="00597D48">
      <w:pPr>
        <w:rPr>
          <w:rFonts w:cs="方正仿宋_GB2312"/>
        </w:rPr>
      </w:pPr>
      <w:r>
        <w:rPr>
          <w:rFonts w:cs="方正仿宋_GB2312" w:hint="eastAsia"/>
        </w:rPr>
        <w:t>2</w:t>
      </w:r>
      <w:r>
        <w:rPr>
          <w:rFonts w:cs="方正仿宋_GB2312" w:hint="eastAsia"/>
        </w:rPr>
        <w:t>）风速和风功率密度的日内变化</w:t>
      </w:r>
    </w:p>
    <w:p w14:paraId="3FB22368" w14:textId="77777777" w:rsidR="00A739F2" w:rsidRDefault="00597D48">
      <w:pPr>
        <w:widowControl/>
        <w:rPr>
          <w:color w:val="000000"/>
        </w:rPr>
      </w:pPr>
      <w:r>
        <w:rPr>
          <w:rFonts w:cs="方正仿宋_GB2312" w:hint="eastAsia"/>
        </w:rPr>
        <w:t>100m</w:t>
      </w:r>
      <w:r>
        <w:rPr>
          <w:rFonts w:cs="方正仿宋_GB2312" w:hint="eastAsia"/>
        </w:rPr>
        <w:t>高度风速和风功率密度日变化曲线见下图。</w:t>
      </w:r>
    </w:p>
    <w:p w14:paraId="30051071" w14:textId="77777777" w:rsidR="00A739F2" w:rsidRDefault="00597D48">
      <w:pPr>
        <w:widowControl/>
        <w:adjustRightInd w:val="0"/>
        <w:spacing w:line="360" w:lineRule="exact"/>
        <w:ind w:firstLineChars="0" w:firstLine="0"/>
        <w:jc w:val="center"/>
        <w:rPr>
          <w:b/>
          <w:sz w:val="24"/>
          <w:szCs w:val="24"/>
        </w:rPr>
      </w:pPr>
      <w:r>
        <w:rPr>
          <w:b/>
          <w:sz w:val="24"/>
          <w:szCs w:val="24"/>
        </w:rPr>
        <w:t>表</w:t>
      </w:r>
      <w:r>
        <w:rPr>
          <w:rFonts w:hint="eastAsia"/>
          <w:b/>
          <w:sz w:val="24"/>
          <w:szCs w:val="24"/>
        </w:rPr>
        <w:t>3.3</w:t>
      </w:r>
      <w:r>
        <w:rPr>
          <w:b/>
          <w:sz w:val="24"/>
          <w:szCs w:val="24"/>
        </w:rPr>
        <w:t>-</w:t>
      </w:r>
      <w:r>
        <w:rPr>
          <w:rFonts w:hint="eastAsia"/>
          <w:b/>
          <w:sz w:val="24"/>
          <w:szCs w:val="24"/>
        </w:rPr>
        <w:t>2</w:t>
      </w:r>
      <w:r>
        <w:rPr>
          <w:b/>
          <w:sz w:val="24"/>
          <w:szCs w:val="24"/>
        </w:rPr>
        <w:t xml:space="preserve">  </w:t>
      </w:r>
      <w:r>
        <w:rPr>
          <w:rFonts w:hint="eastAsia"/>
          <w:b/>
          <w:sz w:val="24"/>
          <w:szCs w:val="24"/>
        </w:rPr>
        <w:t>100m</w:t>
      </w:r>
      <w:r>
        <w:rPr>
          <w:b/>
          <w:sz w:val="24"/>
          <w:szCs w:val="24"/>
        </w:rPr>
        <w:t>高度风速风功率日变化统计表</w:t>
      </w:r>
    </w:p>
    <w:tbl>
      <w:tblPr>
        <w:tblW w:w="4999"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233"/>
        <w:gridCol w:w="3936"/>
        <w:gridCol w:w="3890"/>
      </w:tblGrid>
      <w:tr w:rsidR="00A739F2" w14:paraId="454378B0" w14:textId="77777777">
        <w:trPr>
          <w:trHeight w:val="90"/>
          <w:tblHeader/>
        </w:trPr>
        <w:tc>
          <w:tcPr>
            <w:tcW w:w="680" w:type="pct"/>
            <w:vMerge w:val="restart"/>
            <w:vAlign w:val="center"/>
          </w:tcPr>
          <w:p w14:paraId="4D5499B7" w14:textId="77777777" w:rsidR="00A739F2" w:rsidRDefault="00597D48">
            <w:pPr>
              <w:ind w:firstLineChars="0" w:firstLine="0"/>
              <w:jc w:val="center"/>
              <w:rPr>
                <w:rFonts w:cs="Times New Roman"/>
                <w:kern w:val="0"/>
                <w:sz w:val="24"/>
                <w:szCs w:val="24"/>
              </w:rPr>
            </w:pPr>
            <w:r>
              <w:rPr>
                <w:rFonts w:cs="Times New Roman"/>
                <w:kern w:val="0"/>
                <w:sz w:val="24"/>
                <w:szCs w:val="24"/>
              </w:rPr>
              <w:t>时间</w:t>
            </w:r>
          </w:p>
        </w:tc>
        <w:tc>
          <w:tcPr>
            <w:tcW w:w="4319" w:type="pct"/>
            <w:gridSpan w:val="2"/>
            <w:vAlign w:val="center"/>
          </w:tcPr>
          <w:p w14:paraId="4199D314"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10</w:t>
            </w:r>
            <w:r>
              <w:rPr>
                <w:rFonts w:cs="Times New Roman"/>
                <w:kern w:val="0"/>
                <w:sz w:val="24"/>
                <w:szCs w:val="24"/>
              </w:rPr>
              <w:t>0m</w:t>
            </w:r>
            <w:r>
              <w:rPr>
                <w:rFonts w:cs="Times New Roman" w:hint="eastAsia"/>
                <w:kern w:val="0"/>
                <w:sz w:val="24"/>
                <w:szCs w:val="24"/>
              </w:rPr>
              <w:t>高度</w:t>
            </w:r>
          </w:p>
        </w:tc>
      </w:tr>
      <w:tr w:rsidR="00A739F2" w14:paraId="5DA77836" w14:textId="77777777">
        <w:trPr>
          <w:trHeight w:val="285"/>
          <w:tblHeader/>
        </w:trPr>
        <w:tc>
          <w:tcPr>
            <w:tcW w:w="680" w:type="pct"/>
            <w:vMerge/>
            <w:vAlign w:val="center"/>
          </w:tcPr>
          <w:p w14:paraId="4879CA49" w14:textId="77777777" w:rsidR="00A739F2" w:rsidRDefault="00A739F2">
            <w:pPr>
              <w:ind w:firstLineChars="0" w:firstLine="0"/>
              <w:jc w:val="center"/>
              <w:rPr>
                <w:rFonts w:cs="Times New Roman"/>
                <w:kern w:val="0"/>
                <w:sz w:val="24"/>
                <w:szCs w:val="24"/>
              </w:rPr>
            </w:pPr>
          </w:p>
        </w:tc>
        <w:tc>
          <w:tcPr>
            <w:tcW w:w="2172" w:type="pct"/>
            <w:vAlign w:val="center"/>
          </w:tcPr>
          <w:p w14:paraId="03521DE7" w14:textId="77777777" w:rsidR="00A739F2" w:rsidRDefault="00597D48">
            <w:pPr>
              <w:ind w:firstLineChars="0" w:firstLine="0"/>
              <w:jc w:val="center"/>
              <w:rPr>
                <w:rFonts w:cs="Times New Roman"/>
                <w:kern w:val="0"/>
                <w:sz w:val="24"/>
                <w:szCs w:val="24"/>
              </w:rPr>
            </w:pPr>
            <w:r>
              <w:rPr>
                <w:rFonts w:cs="Times New Roman"/>
                <w:kern w:val="0"/>
                <w:sz w:val="24"/>
                <w:szCs w:val="24"/>
              </w:rPr>
              <w:t>平均风速（</w:t>
            </w:r>
            <w:r>
              <w:rPr>
                <w:rFonts w:cs="Times New Roman"/>
                <w:kern w:val="0"/>
                <w:sz w:val="24"/>
                <w:szCs w:val="24"/>
              </w:rPr>
              <w:t>m/s</w:t>
            </w:r>
            <w:r>
              <w:rPr>
                <w:rFonts w:cs="Times New Roman"/>
                <w:kern w:val="0"/>
                <w:sz w:val="24"/>
                <w:szCs w:val="24"/>
              </w:rPr>
              <w:t>）</w:t>
            </w:r>
          </w:p>
        </w:tc>
        <w:tc>
          <w:tcPr>
            <w:tcW w:w="2147" w:type="pct"/>
            <w:vAlign w:val="center"/>
          </w:tcPr>
          <w:p w14:paraId="0051D00F" w14:textId="77777777" w:rsidR="00A739F2" w:rsidRDefault="00597D48">
            <w:pPr>
              <w:ind w:firstLineChars="0" w:firstLine="0"/>
              <w:jc w:val="center"/>
              <w:rPr>
                <w:rFonts w:cs="Times New Roman"/>
                <w:kern w:val="0"/>
                <w:sz w:val="24"/>
                <w:szCs w:val="24"/>
              </w:rPr>
            </w:pPr>
            <w:r>
              <w:rPr>
                <w:rFonts w:cs="Times New Roman"/>
                <w:kern w:val="0"/>
                <w:sz w:val="24"/>
                <w:szCs w:val="24"/>
              </w:rPr>
              <w:t>风功率密度（</w:t>
            </w:r>
            <w:r>
              <w:rPr>
                <w:rFonts w:cs="Times New Roman"/>
                <w:kern w:val="0"/>
                <w:sz w:val="24"/>
                <w:szCs w:val="24"/>
              </w:rPr>
              <w:t>W/m</w:t>
            </w:r>
            <w:r>
              <w:rPr>
                <w:rFonts w:cs="Times New Roman"/>
                <w:kern w:val="0"/>
                <w:sz w:val="24"/>
                <w:szCs w:val="24"/>
                <w:vertAlign w:val="superscript"/>
              </w:rPr>
              <w:t>2</w:t>
            </w:r>
            <w:r>
              <w:rPr>
                <w:rFonts w:cs="Times New Roman"/>
                <w:kern w:val="0"/>
                <w:sz w:val="24"/>
                <w:szCs w:val="24"/>
              </w:rPr>
              <w:t>）</w:t>
            </w:r>
          </w:p>
        </w:tc>
      </w:tr>
      <w:tr w:rsidR="00A739F2" w14:paraId="420BE360" w14:textId="77777777">
        <w:trPr>
          <w:trHeight w:val="285"/>
        </w:trPr>
        <w:tc>
          <w:tcPr>
            <w:tcW w:w="680" w:type="pct"/>
            <w:vAlign w:val="center"/>
          </w:tcPr>
          <w:p w14:paraId="7CBB9942" w14:textId="77777777" w:rsidR="00A739F2" w:rsidRDefault="00597D48">
            <w:pPr>
              <w:ind w:firstLineChars="0" w:firstLine="0"/>
              <w:jc w:val="center"/>
              <w:rPr>
                <w:rFonts w:cs="Times New Roman"/>
                <w:kern w:val="0"/>
                <w:sz w:val="24"/>
                <w:szCs w:val="24"/>
              </w:rPr>
            </w:pPr>
            <w:r>
              <w:rPr>
                <w:rFonts w:cs="Times New Roman"/>
                <w:kern w:val="0"/>
                <w:sz w:val="24"/>
                <w:szCs w:val="24"/>
              </w:rPr>
              <w:t>0</w:t>
            </w:r>
          </w:p>
        </w:tc>
        <w:tc>
          <w:tcPr>
            <w:tcW w:w="2172" w:type="pct"/>
            <w:vAlign w:val="bottom"/>
          </w:tcPr>
          <w:p w14:paraId="43F36D44"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6.38</w:t>
            </w:r>
          </w:p>
        </w:tc>
        <w:tc>
          <w:tcPr>
            <w:tcW w:w="2147" w:type="pct"/>
            <w:vAlign w:val="bottom"/>
          </w:tcPr>
          <w:p w14:paraId="6CB39FF1"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200.28</w:t>
            </w:r>
          </w:p>
        </w:tc>
      </w:tr>
      <w:tr w:rsidR="00A739F2" w14:paraId="52AA85A9" w14:textId="77777777">
        <w:trPr>
          <w:trHeight w:val="285"/>
        </w:trPr>
        <w:tc>
          <w:tcPr>
            <w:tcW w:w="680" w:type="pct"/>
            <w:vAlign w:val="center"/>
          </w:tcPr>
          <w:p w14:paraId="5D1EB968" w14:textId="77777777" w:rsidR="00A739F2" w:rsidRDefault="00597D48">
            <w:pPr>
              <w:ind w:firstLineChars="0" w:firstLine="0"/>
              <w:jc w:val="center"/>
              <w:rPr>
                <w:rFonts w:cs="Times New Roman"/>
                <w:kern w:val="0"/>
                <w:sz w:val="24"/>
                <w:szCs w:val="24"/>
              </w:rPr>
            </w:pPr>
            <w:r>
              <w:rPr>
                <w:rFonts w:cs="Times New Roman"/>
                <w:kern w:val="0"/>
                <w:sz w:val="24"/>
                <w:szCs w:val="24"/>
              </w:rPr>
              <w:t>1</w:t>
            </w:r>
          </w:p>
        </w:tc>
        <w:tc>
          <w:tcPr>
            <w:tcW w:w="2172" w:type="pct"/>
            <w:vAlign w:val="bottom"/>
          </w:tcPr>
          <w:p w14:paraId="7EBBBB52"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6.36</w:t>
            </w:r>
          </w:p>
        </w:tc>
        <w:tc>
          <w:tcPr>
            <w:tcW w:w="2147" w:type="pct"/>
            <w:vAlign w:val="bottom"/>
          </w:tcPr>
          <w:p w14:paraId="030E324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196.32</w:t>
            </w:r>
          </w:p>
        </w:tc>
      </w:tr>
      <w:tr w:rsidR="00A739F2" w14:paraId="2F294E1E" w14:textId="77777777">
        <w:trPr>
          <w:trHeight w:val="285"/>
        </w:trPr>
        <w:tc>
          <w:tcPr>
            <w:tcW w:w="680" w:type="pct"/>
            <w:vAlign w:val="center"/>
          </w:tcPr>
          <w:p w14:paraId="72D67804" w14:textId="77777777" w:rsidR="00A739F2" w:rsidRDefault="00597D48">
            <w:pPr>
              <w:ind w:firstLineChars="0" w:firstLine="0"/>
              <w:jc w:val="center"/>
              <w:rPr>
                <w:rFonts w:cs="Times New Roman"/>
                <w:kern w:val="0"/>
                <w:sz w:val="24"/>
                <w:szCs w:val="24"/>
              </w:rPr>
            </w:pPr>
            <w:r>
              <w:rPr>
                <w:rFonts w:cs="Times New Roman"/>
                <w:kern w:val="0"/>
                <w:sz w:val="24"/>
                <w:szCs w:val="24"/>
              </w:rPr>
              <w:t>2</w:t>
            </w:r>
          </w:p>
        </w:tc>
        <w:tc>
          <w:tcPr>
            <w:tcW w:w="2172" w:type="pct"/>
            <w:vAlign w:val="bottom"/>
          </w:tcPr>
          <w:p w14:paraId="28C71735"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6.30</w:t>
            </w:r>
          </w:p>
        </w:tc>
        <w:tc>
          <w:tcPr>
            <w:tcW w:w="2147" w:type="pct"/>
            <w:vAlign w:val="bottom"/>
          </w:tcPr>
          <w:p w14:paraId="78D2198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192.64</w:t>
            </w:r>
          </w:p>
        </w:tc>
      </w:tr>
      <w:tr w:rsidR="00A739F2" w14:paraId="0BAF915A" w14:textId="77777777">
        <w:trPr>
          <w:trHeight w:val="285"/>
        </w:trPr>
        <w:tc>
          <w:tcPr>
            <w:tcW w:w="680" w:type="pct"/>
            <w:vAlign w:val="center"/>
          </w:tcPr>
          <w:p w14:paraId="5EA6B03C" w14:textId="77777777" w:rsidR="00A739F2" w:rsidRDefault="00597D48">
            <w:pPr>
              <w:ind w:firstLineChars="0" w:firstLine="0"/>
              <w:jc w:val="center"/>
              <w:rPr>
                <w:rFonts w:cs="Times New Roman"/>
                <w:kern w:val="0"/>
                <w:sz w:val="24"/>
                <w:szCs w:val="24"/>
              </w:rPr>
            </w:pPr>
            <w:r>
              <w:rPr>
                <w:rFonts w:cs="Times New Roman"/>
                <w:kern w:val="0"/>
                <w:sz w:val="24"/>
                <w:szCs w:val="24"/>
              </w:rPr>
              <w:t>3</w:t>
            </w:r>
          </w:p>
        </w:tc>
        <w:tc>
          <w:tcPr>
            <w:tcW w:w="2172" w:type="pct"/>
            <w:vAlign w:val="bottom"/>
          </w:tcPr>
          <w:p w14:paraId="3BC3D7BF"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6.24</w:t>
            </w:r>
          </w:p>
        </w:tc>
        <w:tc>
          <w:tcPr>
            <w:tcW w:w="2147" w:type="pct"/>
            <w:vAlign w:val="bottom"/>
          </w:tcPr>
          <w:p w14:paraId="63388E14"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189.13</w:t>
            </w:r>
          </w:p>
        </w:tc>
      </w:tr>
      <w:tr w:rsidR="00A739F2" w14:paraId="0E425860" w14:textId="77777777">
        <w:trPr>
          <w:trHeight w:val="285"/>
        </w:trPr>
        <w:tc>
          <w:tcPr>
            <w:tcW w:w="680" w:type="pct"/>
            <w:vAlign w:val="center"/>
          </w:tcPr>
          <w:p w14:paraId="6967D560" w14:textId="77777777" w:rsidR="00A739F2" w:rsidRDefault="00597D48">
            <w:pPr>
              <w:ind w:firstLineChars="0" w:firstLine="0"/>
              <w:jc w:val="center"/>
              <w:rPr>
                <w:rFonts w:cs="Times New Roman"/>
                <w:kern w:val="0"/>
                <w:sz w:val="24"/>
                <w:szCs w:val="24"/>
              </w:rPr>
            </w:pPr>
            <w:r>
              <w:rPr>
                <w:rFonts w:cs="Times New Roman"/>
                <w:kern w:val="0"/>
                <w:sz w:val="24"/>
                <w:szCs w:val="24"/>
              </w:rPr>
              <w:t>4</w:t>
            </w:r>
          </w:p>
        </w:tc>
        <w:tc>
          <w:tcPr>
            <w:tcW w:w="2172" w:type="pct"/>
            <w:vAlign w:val="bottom"/>
          </w:tcPr>
          <w:p w14:paraId="4F71C01B"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6.19</w:t>
            </w:r>
          </w:p>
        </w:tc>
        <w:tc>
          <w:tcPr>
            <w:tcW w:w="2147" w:type="pct"/>
            <w:vAlign w:val="bottom"/>
          </w:tcPr>
          <w:p w14:paraId="59E3ABCA"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186.58</w:t>
            </w:r>
          </w:p>
        </w:tc>
      </w:tr>
      <w:tr w:rsidR="00A739F2" w14:paraId="3057A604" w14:textId="77777777">
        <w:trPr>
          <w:trHeight w:val="285"/>
        </w:trPr>
        <w:tc>
          <w:tcPr>
            <w:tcW w:w="680" w:type="pct"/>
            <w:vAlign w:val="center"/>
          </w:tcPr>
          <w:p w14:paraId="2245153F" w14:textId="77777777" w:rsidR="00A739F2" w:rsidRDefault="00597D48">
            <w:pPr>
              <w:ind w:firstLineChars="0" w:firstLine="0"/>
              <w:jc w:val="center"/>
              <w:rPr>
                <w:rFonts w:cs="Times New Roman"/>
                <w:kern w:val="0"/>
                <w:sz w:val="24"/>
                <w:szCs w:val="24"/>
              </w:rPr>
            </w:pPr>
            <w:r>
              <w:rPr>
                <w:rFonts w:cs="Times New Roman"/>
                <w:kern w:val="0"/>
                <w:sz w:val="24"/>
                <w:szCs w:val="24"/>
              </w:rPr>
              <w:t>5</w:t>
            </w:r>
          </w:p>
        </w:tc>
        <w:tc>
          <w:tcPr>
            <w:tcW w:w="2172" w:type="pct"/>
            <w:vAlign w:val="bottom"/>
          </w:tcPr>
          <w:p w14:paraId="4F4CD878"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6.01</w:t>
            </w:r>
          </w:p>
        </w:tc>
        <w:tc>
          <w:tcPr>
            <w:tcW w:w="2147" w:type="pct"/>
            <w:vAlign w:val="bottom"/>
          </w:tcPr>
          <w:p w14:paraId="5219517A"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171.62</w:t>
            </w:r>
          </w:p>
        </w:tc>
      </w:tr>
      <w:tr w:rsidR="00A739F2" w14:paraId="09AA45CB" w14:textId="77777777">
        <w:trPr>
          <w:trHeight w:val="285"/>
        </w:trPr>
        <w:tc>
          <w:tcPr>
            <w:tcW w:w="680" w:type="pct"/>
            <w:vAlign w:val="center"/>
          </w:tcPr>
          <w:p w14:paraId="2D88A220" w14:textId="77777777" w:rsidR="00A739F2" w:rsidRDefault="00597D48">
            <w:pPr>
              <w:ind w:firstLineChars="0" w:firstLine="0"/>
              <w:jc w:val="center"/>
              <w:rPr>
                <w:rFonts w:cs="Times New Roman"/>
                <w:kern w:val="0"/>
                <w:sz w:val="24"/>
                <w:szCs w:val="24"/>
              </w:rPr>
            </w:pPr>
            <w:r>
              <w:rPr>
                <w:rFonts w:cs="Times New Roman"/>
                <w:kern w:val="0"/>
                <w:sz w:val="24"/>
                <w:szCs w:val="24"/>
              </w:rPr>
              <w:t>6</w:t>
            </w:r>
          </w:p>
        </w:tc>
        <w:tc>
          <w:tcPr>
            <w:tcW w:w="2172" w:type="pct"/>
            <w:vAlign w:val="bottom"/>
          </w:tcPr>
          <w:p w14:paraId="6DC061B7"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5.72</w:t>
            </w:r>
          </w:p>
        </w:tc>
        <w:tc>
          <w:tcPr>
            <w:tcW w:w="2147" w:type="pct"/>
            <w:vAlign w:val="bottom"/>
          </w:tcPr>
          <w:p w14:paraId="08719D4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149.50</w:t>
            </w:r>
          </w:p>
        </w:tc>
      </w:tr>
      <w:tr w:rsidR="00A739F2" w14:paraId="7F7604EA" w14:textId="77777777">
        <w:trPr>
          <w:trHeight w:val="285"/>
        </w:trPr>
        <w:tc>
          <w:tcPr>
            <w:tcW w:w="680" w:type="pct"/>
            <w:vAlign w:val="center"/>
          </w:tcPr>
          <w:p w14:paraId="6444304B" w14:textId="77777777" w:rsidR="00A739F2" w:rsidRDefault="00597D48">
            <w:pPr>
              <w:ind w:firstLineChars="0" w:firstLine="0"/>
              <w:jc w:val="center"/>
              <w:rPr>
                <w:rFonts w:cs="Times New Roman"/>
                <w:kern w:val="0"/>
                <w:sz w:val="24"/>
                <w:szCs w:val="24"/>
              </w:rPr>
            </w:pPr>
            <w:r>
              <w:rPr>
                <w:rFonts w:cs="Times New Roman"/>
                <w:kern w:val="0"/>
                <w:sz w:val="24"/>
                <w:szCs w:val="24"/>
              </w:rPr>
              <w:t>7</w:t>
            </w:r>
          </w:p>
        </w:tc>
        <w:tc>
          <w:tcPr>
            <w:tcW w:w="2172" w:type="pct"/>
            <w:vAlign w:val="bottom"/>
          </w:tcPr>
          <w:p w14:paraId="26FDAC4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5.45</w:t>
            </w:r>
          </w:p>
        </w:tc>
        <w:tc>
          <w:tcPr>
            <w:tcW w:w="2147" w:type="pct"/>
            <w:vAlign w:val="bottom"/>
          </w:tcPr>
          <w:p w14:paraId="6CC5E884"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135.65</w:t>
            </w:r>
          </w:p>
        </w:tc>
      </w:tr>
      <w:tr w:rsidR="00A739F2" w14:paraId="188EFFF9" w14:textId="77777777">
        <w:trPr>
          <w:trHeight w:val="285"/>
        </w:trPr>
        <w:tc>
          <w:tcPr>
            <w:tcW w:w="680" w:type="pct"/>
            <w:vAlign w:val="center"/>
          </w:tcPr>
          <w:p w14:paraId="6DA773AD" w14:textId="77777777" w:rsidR="00A739F2" w:rsidRDefault="00597D48">
            <w:pPr>
              <w:ind w:firstLineChars="0" w:firstLine="0"/>
              <w:jc w:val="center"/>
              <w:rPr>
                <w:rFonts w:cs="Times New Roman"/>
                <w:kern w:val="0"/>
                <w:sz w:val="24"/>
                <w:szCs w:val="24"/>
              </w:rPr>
            </w:pPr>
            <w:r>
              <w:rPr>
                <w:rFonts w:cs="Times New Roman"/>
                <w:kern w:val="0"/>
                <w:sz w:val="24"/>
                <w:szCs w:val="24"/>
              </w:rPr>
              <w:t>8</w:t>
            </w:r>
          </w:p>
        </w:tc>
        <w:tc>
          <w:tcPr>
            <w:tcW w:w="2172" w:type="pct"/>
            <w:vAlign w:val="bottom"/>
          </w:tcPr>
          <w:p w14:paraId="4C0D98A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5.34</w:t>
            </w:r>
          </w:p>
        </w:tc>
        <w:tc>
          <w:tcPr>
            <w:tcW w:w="2147" w:type="pct"/>
            <w:vAlign w:val="bottom"/>
          </w:tcPr>
          <w:p w14:paraId="40A517CE"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136.12</w:t>
            </w:r>
          </w:p>
        </w:tc>
      </w:tr>
      <w:tr w:rsidR="00A739F2" w14:paraId="72F0B7E3" w14:textId="77777777">
        <w:trPr>
          <w:trHeight w:val="285"/>
        </w:trPr>
        <w:tc>
          <w:tcPr>
            <w:tcW w:w="680" w:type="pct"/>
            <w:vAlign w:val="center"/>
          </w:tcPr>
          <w:p w14:paraId="40FEA788" w14:textId="77777777" w:rsidR="00A739F2" w:rsidRDefault="00597D48">
            <w:pPr>
              <w:ind w:firstLineChars="0" w:firstLine="0"/>
              <w:jc w:val="center"/>
              <w:rPr>
                <w:rFonts w:cs="Times New Roman"/>
                <w:kern w:val="0"/>
                <w:sz w:val="24"/>
                <w:szCs w:val="24"/>
              </w:rPr>
            </w:pPr>
            <w:r>
              <w:rPr>
                <w:rFonts w:cs="Times New Roman"/>
                <w:kern w:val="0"/>
                <w:sz w:val="24"/>
                <w:szCs w:val="24"/>
              </w:rPr>
              <w:t>9</w:t>
            </w:r>
          </w:p>
        </w:tc>
        <w:tc>
          <w:tcPr>
            <w:tcW w:w="2172" w:type="pct"/>
            <w:vAlign w:val="bottom"/>
          </w:tcPr>
          <w:p w14:paraId="046DEF77"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5.41</w:t>
            </w:r>
          </w:p>
        </w:tc>
        <w:tc>
          <w:tcPr>
            <w:tcW w:w="2147" w:type="pct"/>
            <w:vAlign w:val="bottom"/>
          </w:tcPr>
          <w:p w14:paraId="088860A8"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152.96</w:t>
            </w:r>
          </w:p>
        </w:tc>
      </w:tr>
      <w:tr w:rsidR="00A739F2" w14:paraId="499B7170" w14:textId="77777777">
        <w:trPr>
          <w:trHeight w:val="285"/>
        </w:trPr>
        <w:tc>
          <w:tcPr>
            <w:tcW w:w="680" w:type="pct"/>
            <w:vAlign w:val="center"/>
          </w:tcPr>
          <w:p w14:paraId="17CB7BC6" w14:textId="77777777" w:rsidR="00A739F2" w:rsidRDefault="00597D48">
            <w:pPr>
              <w:ind w:firstLineChars="0" w:firstLine="0"/>
              <w:jc w:val="center"/>
              <w:rPr>
                <w:rFonts w:cs="Times New Roman"/>
                <w:kern w:val="0"/>
                <w:sz w:val="24"/>
                <w:szCs w:val="24"/>
              </w:rPr>
            </w:pPr>
            <w:r>
              <w:rPr>
                <w:rFonts w:cs="Times New Roman"/>
                <w:kern w:val="0"/>
                <w:sz w:val="24"/>
                <w:szCs w:val="24"/>
              </w:rPr>
              <w:t>10</w:t>
            </w:r>
          </w:p>
        </w:tc>
        <w:tc>
          <w:tcPr>
            <w:tcW w:w="2172" w:type="pct"/>
            <w:vAlign w:val="bottom"/>
          </w:tcPr>
          <w:p w14:paraId="74581B97"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5.59</w:t>
            </w:r>
          </w:p>
        </w:tc>
        <w:tc>
          <w:tcPr>
            <w:tcW w:w="2147" w:type="pct"/>
            <w:vAlign w:val="bottom"/>
          </w:tcPr>
          <w:p w14:paraId="732766B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174.95</w:t>
            </w:r>
          </w:p>
        </w:tc>
      </w:tr>
      <w:tr w:rsidR="00A739F2" w14:paraId="1F00CA45" w14:textId="77777777">
        <w:trPr>
          <w:trHeight w:val="285"/>
        </w:trPr>
        <w:tc>
          <w:tcPr>
            <w:tcW w:w="680" w:type="pct"/>
            <w:vAlign w:val="center"/>
          </w:tcPr>
          <w:p w14:paraId="6B5BA722" w14:textId="77777777" w:rsidR="00A739F2" w:rsidRDefault="00597D48">
            <w:pPr>
              <w:ind w:firstLineChars="0" w:firstLine="0"/>
              <w:jc w:val="center"/>
              <w:rPr>
                <w:rFonts w:cs="Times New Roman"/>
                <w:kern w:val="0"/>
                <w:sz w:val="24"/>
                <w:szCs w:val="24"/>
              </w:rPr>
            </w:pPr>
            <w:r>
              <w:rPr>
                <w:rFonts w:cs="Times New Roman"/>
                <w:kern w:val="0"/>
                <w:sz w:val="24"/>
                <w:szCs w:val="24"/>
              </w:rPr>
              <w:t>11</w:t>
            </w:r>
          </w:p>
        </w:tc>
        <w:tc>
          <w:tcPr>
            <w:tcW w:w="2172" w:type="pct"/>
            <w:vAlign w:val="bottom"/>
          </w:tcPr>
          <w:p w14:paraId="3627AE33"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5.85</w:t>
            </w:r>
          </w:p>
        </w:tc>
        <w:tc>
          <w:tcPr>
            <w:tcW w:w="2147" w:type="pct"/>
            <w:vAlign w:val="bottom"/>
          </w:tcPr>
          <w:p w14:paraId="2B52B544"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196.92</w:t>
            </w:r>
          </w:p>
        </w:tc>
      </w:tr>
      <w:tr w:rsidR="00A739F2" w14:paraId="10111AE9" w14:textId="77777777">
        <w:trPr>
          <w:trHeight w:val="285"/>
        </w:trPr>
        <w:tc>
          <w:tcPr>
            <w:tcW w:w="680" w:type="pct"/>
            <w:vAlign w:val="center"/>
          </w:tcPr>
          <w:p w14:paraId="7C5C875D" w14:textId="77777777" w:rsidR="00A739F2" w:rsidRDefault="00597D48">
            <w:pPr>
              <w:ind w:firstLineChars="0" w:firstLine="0"/>
              <w:jc w:val="center"/>
              <w:rPr>
                <w:rFonts w:cs="Times New Roman"/>
                <w:kern w:val="0"/>
                <w:sz w:val="24"/>
                <w:szCs w:val="24"/>
              </w:rPr>
            </w:pPr>
            <w:r>
              <w:rPr>
                <w:rFonts w:cs="Times New Roman"/>
                <w:kern w:val="0"/>
                <w:sz w:val="24"/>
                <w:szCs w:val="24"/>
              </w:rPr>
              <w:t>12</w:t>
            </w:r>
          </w:p>
        </w:tc>
        <w:tc>
          <w:tcPr>
            <w:tcW w:w="2172" w:type="pct"/>
            <w:vAlign w:val="bottom"/>
          </w:tcPr>
          <w:p w14:paraId="04C1F3E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6.03</w:t>
            </w:r>
          </w:p>
        </w:tc>
        <w:tc>
          <w:tcPr>
            <w:tcW w:w="2147" w:type="pct"/>
            <w:vAlign w:val="bottom"/>
          </w:tcPr>
          <w:p w14:paraId="1FB579DF"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218.16</w:t>
            </w:r>
          </w:p>
        </w:tc>
      </w:tr>
      <w:tr w:rsidR="00A739F2" w14:paraId="136FCC48" w14:textId="77777777">
        <w:trPr>
          <w:trHeight w:val="285"/>
        </w:trPr>
        <w:tc>
          <w:tcPr>
            <w:tcW w:w="680" w:type="pct"/>
            <w:vAlign w:val="center"/>
          </w:tcPr>
          <w:p w14:paraId="7B420747" w14:textId="77777777" w:rsidR="00A739F2" w:rsidRDefault="00597D48">
            <w:pPr>
              <w:ind w:firstLineChars="0" w:firstLine="0"/>
              <w:jc w:val="center"/>
              <w:rPr>
                <w:rFonts w:cs="Times New Roman"/>
                <w:kern w:val="0"/>
                <w:sz w:val="24"/>
                <w:szCs w:val="24"/>
              </w:rPr>
            </w:pPr>
            <w:r>
              <w:rPr>
                <w:rFonts w:cs="Times New Roman"/>
                <w:kern w:val="0"/>
                <w:sz w:val="24"/>
                <w:szCs w:val="24"/>
              </w:rPr>
              <w:t>13</w:t>
            </w:r>
          </w:p>
        </w:tc>
        <w:tc>
          <w:tcPr>
            <w:tcW w:w="2172" w:type="pct"/>
            <w:vAlign w:val="bottom"/>
          </w:tcPr>
          <w:p w14:paraId="2F1E1632"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6.18</w:t>
            </w:r>
          </w:p>
        </w:tc>
        <w:tc>
          <w:tcPr>
            <w:tcW w:w="2147" w:type="pct"/>
            <w:vAlign w:val="bottom"/>
          </w:tcPr>
          <w:p w14:paraId="3046491E"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237.77</w:t>
            </w:r>
          </w:p>
        </w:tc>
      </w:tr>
      <w:tr w:rsidR="00A739F2" w14:paraId="469B5C19" w14:textId="77777777">
        <w:trPr>
          <w:trHeight w:val="285"/>
        </w:trPr>
        <w:tc>
          <w:tcPr>
            <w:tcW w:w="680" w:type="pct"/>
            <w:vAlign w:val="center"/>
          </w:tcPr>
          <w:p w14:paraId="42FCAB77" w14:textId="77777777" w:rsidR="00A739F2" w:rsidRDefault="00597D48">
            <w:pPr>
              <w:ind w:firstLineChars="0" w:firstLine="0"/>
              <w:jc w:val="center"/>
              <w:rPr>
                <w:rFonts w:cs="Times New Roman"/>
                <w:kern w:val="0"/>
                <w:sz w:val="24"/>
                <w:szCs w:val="24"/>
              </w:rPr>
            </w:pPr>
            <w:r>
              <w:rPr>
                <w:rFonts w:cs="Times New Roman"/>
                <w:kern w:val="0"/>
                <w:sz w:val="24"/>
                <w:szCs w:val="24"/>
              </w:rPr>
              <w:t>14</w:t>
            </w:r>
          </w:p>
        </w:tc>
        <w:tc>
          <w:tcPr>
            <w:tcW w:w="2172" w:type="pct"/>
            <w:vAlign w:val="bottom"/>
          </w:tcPr>
          <w:p w14:paraId="724ACEBE"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6.28</w:t>
            </w:r>
          </w:p>
        </w:tc>
        <w:tc>
          <w:tcPr>
            <w:tcW w:w="2147" w:type="pct"/>
            <w:vAlign w:val="bottom"/>
          </w:tcPr>
          <w:p w14:paraId="3AEA390C"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254.20</w:t>
            </w:r>
          </w:p>
        </w:tc>
      </w:tr>
      <w:tr w:rsidR="00A739F2" w14:paraId="5E4560C3" w14:textId="77777777">
        <w:trPr>
          <w:trHeight w:val="285"/>
        </w:trPr>
        <w:tc>
          <w:tcPr>
            <w:tcW w:w="680" w:type="pct"/>
            <w:vAlign w:val="center"/>
          </w:tcPr>
          <w:p w14:paraId="512903A6" w14:textId="77777777" w:rsidR="00A739F2" w:rsidRDefault="00597D48">
            <w:pPr>
              <w:ind w:firstLineChars="0" w:firstLine="0"/>
              <w:jc w:val="center"/>
              <w:rPr>
                <w:rFonts w:cs="Times New Roman"/>
                <w:kern w:val="0"/>
                <w:sz w:val="24"/>
                <w:szCs w:val="24"/>
              </w:rPr>
            </w:pPr>
            <w:r>
              <w:rPr>
                <w:rFonts w:cs="Times New Roman"/>
                <w:kern w:val="0"/>
                <w:sz w:val="24"/>
                <w:szCs w:val="24"/>
              </w:rPr>
              <w:t>15</w:t>
            </w:r>
          </w:p>
        </w:tc>
        <w:tc>
          <w:tcPr>
            <w:tcW w:w="2172" w:type="pct"/>
            <w:vAlign w:val="bottom"/>
          </w:tcPr>
          <w:p w14:paraId="2D7DC59B"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6.31</w:t>
            </w:r>
          </w:p>
        </w:tc>
        <w:tc>
          <w:tcPr>
            <w:tcW w:w="2147" w:type="pct"/>
            <w:vAlign w:val="bottom"/>
          </w:tcPr>
          <w:p w14:paraId="4D129E07"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259.79</w:t>
            </w:r>
          </w:p>
        </w:tc>
      </w:tr>
      <w:tr w:rsidR="00A739F2" w14:paraId="70C7ED12" w14:textId="77777777">
        <w:trPr>
          <w:trHeight w:val="285"/>
        </w:trPr>
        <w:tc>
          <w:tcPr>
            <w:tcW w:w="680" w:type="pct"/>
            <w:vAlign w:val="center"/>
          </w:tcPr>
          <w:p w14:paraId="269DFA19" w14:textId="77777777" w:rsidR="00A739F2" w:rsidRDefault="00597D48">
            <w:pPr>
              <w:ind w:firstLineChars="0" w:firstLine="0"/>
              <w:jc w:val="center"/>
              <w:rPr>
                <w:rFonts w:cs="Times New Roman"/>
                <w:kern w:val="0"/>
                <w:sz w:val="24"/>
                <w:szCs w:val="24"/>
              </w:rPr>
            </w:pPr>
            <w:r>
              <w:rPr>
                <w:rFonts w:cs="Times New Roman"/>
                <w:kern w:val="0"/>
                <w:sz w:val="24"/>
                <w:szCs w:val="24"/>
              </w:rPr>
              <w:lastRenderedPageBreak/>
              <w:t>16</w:t>
            </w:r>
          </w:p>
        </w:tc>
        <w:tc>
          <w:tcPr>
            <w:tcW w:w="2172" w:type="pct"/>
            <w:vAlign w:val="bottom"/>
          </w:tcPr>
          <w:p w14:paraId="15906215"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6.21</w:t>
            </w:r>
          </w:p>
        </w:tc>
        <w:tc>
          <w:tcPr>
            <w:tcW w:w="2147" w:type="pct"/>
            <w:vAlign w:val="bottom"/>
          </w:tcPr>
          <w:p w14:paraId="5F0F80AA"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249.20</w:t>
            </w:r>
          </w:p>
        </w:tc>
      </w:tr>
      <w:tr w:rsidR="00A739F2" w14:paraId="5B657AD9" w14:textId="77777777">
        <w:trPr>
          <w:trHeight w:val="285"/>
        </w:trPr>
        <w:tc>
          <w:tcPr>
            <w:tcW w:w="680" w:type="pct"/>
            <w:vAlign w:val="center"/>
          </w:tcPr>
          <w:p w14:paraId="40DEBA49" w14:textId="77777777" w:rsidR="00A739F2" w:rsidRDefault="00597D48">
            <w:pPr>
              <w:ind w:firstLineChars="0" w:firstLine="0"/>
              <w:jc w:val="center"/>
              <w:rPr>
                <w:rFonts w:cs="Times New Roman"/>
                <w:kern w:val="0"/>
                <w:sz w:val="24"/>
                <w:szCs w:val="24"/>
              </w:rPr>
            </w:pPr>
            <w:r>
              <w:rPr>
                <w:rFonts w:cs="Times New Roman"/>
                <w:kern w:val="0"/>
                <w:sz w:val="24"/>
                <w:szCs w:val="24"/>
              </w:rPr>
              <w:t>17</w:t>
            </w:r>
          </w:p>
        </w:tc>
        <w:tc>
          <w:tcPr>
            <w:tcW w:w="2172" w:type="pct"/>
            <w:vAlign w:val="bottom"/>
          </w:tcPr>
          <w:p w14:paraId="3B9D47FB"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5.96</w:t>
            </w:r>
          </w:p>
        </w:tc>
        <w:tc>
          <w:tcPr>
            <w:tcW w:w="2147" w:type="pct"/>
            <w:vAlign w:val="bottom"/>
          </w:tcPr>
          <w:p w14:paraId="1BDF2A46"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219.61</w:t>
            </w:r>
          </w:p>
        </w:tc>
      </w:tr>
      <w:tr w:rsidR="00A739F2" w14:paraId="5EFBA337" w14:textId="77777777">
        <w:trPr>
          <w:trHeight w:val="285"/>
        </w:trPr>
        <w:tc>
          <w:tcPr>
            <w:tcW w:w="680" w:type="pct"/>
            <w:vAlign w:val="center"/>
          </w:tcPr>
          <w:p w14:paraId="5F26B23E" w14:textId="77777777" w:rsidR="00A739F2" w:rsidRDefault="00597D48">
            <w:pPr>
              <w:ind w:firstLineChars="0" w:firstLine="0"/>
              <w:jc w:val="center"/>
              <w:rPr>
                <w:rFonts w:cs="Times New Roman"/>
                <w:kern w:val="0"/>
                <w:sz w:val="24"/>
                <w:szCs w:val="24"/>
              </w:rPr>
            </w:pPr>
            <w:r>
              <w:rPr>
                <w:rFonts w:cs="Times New Roman"/>
                <w:kern w:val="0"/>
                <w:sz w:val="24"/>
                <w:szCs w:val="24"/>
              </w:rPr>
              <w:t>18</w:t>
            </w:r>
          </w:p>
        </w:tc>
        <w:tc>
          <w:tcPr>
            <w:tcW w:w="2172" w:type="pct"/>
            <w:vAlign w:val="bottom"/>
          </w:tcPr>
          <w:p w14:paraId="6A90E57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5.81</w:t>
            </w:r>
          </w:p>
        </w:tc>
        <w:tc>
          <w:tcPr>
            <w:tcW w:w="2147" w:type="pct"/>
            <w:vAlign w:val="bottom"/>
          </w:tcPr>
          <w:p w14:paraId="53BEEFA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192.83</w:t>
            </w:r>
          </w:p>
        </w:tc>
      </w:tr>
      <w:tr w:rsidR="00A739F2" w14:paraId="22EDCEC6" w14:textId="77777777">
        <w:trPr>
          <w:trHeight w:val="285"/>
        </w:trPr>
        <w:tc>
          <w:tcPr>
            <w:tcW w:w="680" w:type="pct"/>
            <w:vAlign w:val="center"/>
          </w:tcPr>
          <w:p w14:paraId="76B169DE" w14:textId="77777777" w:rsidR="00A739F2" w:rsidRDefault="00597D48">
            <w:pPr>
              <w:ind w:firstLineChars="0" w:firstLine="0"/>
              <w:jc w:val="center"/>
              <w:rPr>
                <w:rFonts w:cs="Times New Roman"/>
                <w:kern w:val="0"/>
                <w:sz w:val="24"/>
                <w:szCs w:val="24"/>
              </w:rPr>
            </w:pPr>
            <w:r>
              <w:rPr>
                <w:rFonts w:cs="Times New Roman"/>
                <w:kern w:val="0"/>
                <w:sz w:val="24"/>
                <w:szCs w:val="24"/>
              </w:rPr>
              <w:t>19</w:t>
            </w:r>
          </w:p>
        </w:tc>
        <w:tc>
          <w:tcPr>
            <w:tcW w:w="2172" w:type="pct"/>
            <w:vAlign w:val="bottom"/>
          </w:tcPr>
          <w:p w14:paraId="0F375147"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5.81</w:t>
            </w:r>
          </w:p>
        </w:tc>
        <w:tc>
          <w:tcPr>
            <w:tcW w:w="2147" w:type="pct"/>
            <w:vAlign w:val="bottom"/>
          </w:tcPr>
          <w:p w14:paraId="5835CC5C"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183.27</w:t>
            </w:r>
          </w:p>
        </w:tc>
      </w:tr>
      <w:tr w:rsidR="00A739F2" w14:paraId="7A4F8EDA" w14:textId="77777777">
        <w:trPr>
          <w:trHeight w:val="285"/>
        </w:trPr>
        <w:tc>
          <w:tcPr>
            <w:tcW w:w="680" w:type="pct"/>
            <w:vAlign w:val="center"/>
          </w:tcPr>
          <w:p w14:paraId="1822443E" w14:textId="77777777" w:rsidR="00A739F2" w:rsidRDefault="00597D48">
            <w:pPr>
              <w:ind w:firstLineChars="0" w:firstLine="0"/>
              <w:jc w:val="center"/>
              <w:rPr>
                <w:rFonts w:cs="Times New Roman"/>
                <w:kern w:val="0"/>
                <w:sz w:val="24"/>
                <w:szCs w:val="24"/>
              </w:rPr>
            </w:pPr>
            <w:r>
              <w:rPr>
                <w:rFonts w:cs="Times New Roman"/>
                <w:kern w:val="0"/>
                <w:sz w:val="24"/>
                <w:szCs w:val="24"/>
              </w:rPr>
              <w:t>20</w:t>
            </w:r>
          </w:p>
        </w:tc>
        <w:tc>
          <w:tcPr>
            <w:tcW w:w="2172" w:type="pct"/>
            <w:vAlign w:val="bottom"/>
          </w:tcPr>
          <w:p w14:paraId="75A0CED8"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5.97</w:t>
            </w:r>
          </w:p>
        </w:tc>
        <w:tc>
          <w:tcPr>
            <w:tcW w:w="2147" w:type="pct"/>
            <w:vAlign w:val="bottom"/>
          </w:tcPr>
          <w:p w14:paraId="352C29E2"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189.47</w:t>
            </w:r>
          </w:p>
        </w:tc>
      </w:tr>
      <w:tr w:rsidR="00A739F2" w14:paraId="30871103" w14:textId="77777777">
        <w:trPr>
          <w:trHeight w:val="285"/>
        </w:trPr>
        <w:tc>
          <w:tcPr>
            <w:tcW w:w="680" w:type="pct"/>
            <w:vAlign w:val="center"/>
          </w:tcPr>
          <w:p w14:paraId="59283389" w14:textId="77777777" w:rsidR="00A739F2" w:rsidRDefault="00597D48">
            <w:pPr>
              <w:ind w:firstLineChars="0" w:firstLine="0"/>
              <w:jc w:val="center"/>
              <w:rPr>
                <w:rFonts w:cs="Times New Roman"/>
                <w:kern w:val="0"/>
                <w:sz w:val="24"/>
                <w:szCs w:val="24"/>
              </w:rPr>
            </w:pPr>
            <w:r>
              <w:rPr>
                <w:rFonts w:cs="Times New Roman"/>
                <w:kern w:val="0"/>
                <w:sz w:val="24"/>
                <w:szCs w:val="24"/>
              </w:rPr>
              <w:t>21</w:t>
            </w:r>
          </w:p>
        </w:tc>
        <w:tc>
          <w:tcPr>
            <w:tcW w:w="2172" w:type="pct"/>
            <w:vAlign w:val="bottom"/>
          </w:tcPr>
          <w:p w14:paraId="764DEFCC"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6.12</w:t>
            </w:r>
          </w:p>
        </w:tc>
        <w:tc>
          <w:tcPr>
            <w:tcW w:w="2147" w:type="pct"/>
            <w:vAlign w:val="bottom"/>
          </w:tcPr>
          <w:p w14:paraId="26F56DEE"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196.50</w:t>
            </w:r>
          </w:p>
        </w:tc>
      </w:tr>
      <w:tr w:rsidR="00A739F2" w14:paraId="64833D0B" w14:textId="77777777">
        <w:trPr>
          <w:trHeight w:val="285"/>
        </w:trPr>
        <w:tc>
          <w:tcPr>
            <w:tcW w:w="680" w:type="pct"/>
            <w:vAlign w:val="center"/>
          </w:tcPr>
          <w:p w14:paraId="48A479DB" w14:textId="77777777" w:rsidR="00A739F2" w:rsidRDefault="00597D48">
            <w:pPr>
              <w:ind w:firstLineChars="0" w:firstLine="0"/>
              <w:jc w:val="center"/>
              <w:rPr>
                <w:rFonts w:cs="Times New Roman"/>
                <w:kern w:val="0"/>
                <w:sz w:val="24"/>
                <w:szCs w:val="24"/>
              </w:rPr>
            </w:pPr>
            <w:r>
              <w:rPr>
                <w:rFonts w:cs="Times New Roman"/>
                <w:kern w:val="0"/>
                <w:sz w:val="24"/>
                <w:szCs w:val="24"/>
              </w:rPr>
              <w:t>22</w:t>
            </w:r>
          </w:p>
        </w:tc>
        <w:tc>
          <w:tcPr>
            <w:tcW w:w="2172" w:type="pct"/>
            <w:vAlign w:val="bottom"/>
          </w:tcPr>
          <w:p w14:paraId="68E39143"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6.25</w:t>
            </w:r>
          </w:p>
        </w:tc>
        <w:tc>
          <w:tcPr>
            <w:tcW w:w="2147" w:type="pct"/>
            <w:vAlign w:val="bottom"/>
          </w:tcPr>
          <w:p w14:paraId="7D4894D9"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199.63</w:t>
            </w:r>
          </w:p>
        </w:tc>
      </w:tr>
      <w:tr w:rsidR="00A739F2" w14:paraId="5E4B4348" w14:textId="77777777">
        <w:trPr>
          <w:trHeight w:val="285"/>
        </w:trPr>
        <w:tc>
          <w:tcPr>
            <w:tcW w:w="680" w:type="pct"/>
            <w:vAlign w:val="center"/>
          </w:tcPr>
          <w:p w14:paraId="19C9C4B6" w14:textId="77777777" w:rsidR="00A739F2" w:rsidRDefault="00597D48">
            <w:pPr>
              <w:ind w:firstLineChars="0" w:firstLine="0"/>
              <w:jc w:val="center"/>
              <w:rPr>
                <w:rFonts w:cs="Times New Roman"/>
                <w:kern w:val="0"/>
                <w:sz w:val="24"/>
                <w:szCs w:val="24"/>
              </w:rPr>
            </w:pPr>
            <w:r>
              <w:rPr>
                <w:rFonts w:cs="Times New Roman"/>
                <w:kern w:val="0"/>
                <w:sz w:val="24"/>
                <w:szCs w:val="24"/>
              </w:rPr>
              <w:t>23</w:t>
            </w:r>
          </w:p>
        </w:tc>
        <w:tc>
          <w:tcPr>
            <w:tcW w:w="2172" w:type="pct"/>
            <w:vAlign w:val="bottom"/>
          </w:tcPr>
          <w:p w14:paraId="6C8C3B4D"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6.36</w:t>
            </w:r>
          </w:p>
        </w:tc>
        <w:tc>
          <w:tcPr>
            <w:tcW w:w="2147" w:type="pct"/>
            <w:vAlign w:val="bottom"/>
          </w:tcPr>
          <w:p w14:paraId="5ACBFA39"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202.32</w:t>
            </w:r>
          </w:p>
        </w:tc>
      </w:tr>
    </w:tbl>
    <w:p w14:paraId="0861148D" w14:textId="77777777" w:rsidR="00A739F2" w:rsidRDefault="00597D48">
      <w:pPr>
        <w:widowControl/>
        <w:spacing w:before="120" w:after="120"/>
        <w:ind w:firstLineChars="0" w:firstLine="0"/>
        <w:jc w:val="center"/>
        <w:rPr>
          <w:szCs w:val="21"/>
        </w:rPr>
      </w:pPr>
      <w:r>
        <w:rPr>
          <w:noProof/>
        </w:rPr>
        <w:drawing>
          <wp:inline distT="0" distB="0" distL="114300" distR="114300" wp14:anchorId="7687F3B7" wp14:editId="589DB4F5">
            <wp:extent cx="4587875" cy="2737485"/>
            <wp:effectExtent l="0" t="0" r="14605" b="571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9"/>
                    <a:stretch>
                      <a:fillRect/>
                    </a:stretch>
                  </pic:blipFill>
                  <pic:spPr>
                    <a:xfrm>
                      <a:off x="0" y="0"/>
                      <a:ext cx="4587875" cy="2737485"/>
                    </a:xfrm>
                    <a:prstGeom prst="rect">
                      <a:avLst/>
                    </a:prstGeom>
                    <a:noFill/>
                    <a:ln>
                      <a:noFill/>
                    </a:ln>
                  </pic:spPr>
                </pic:pic>
              </a:graphicData>
            </a:graphic>
          </wp:inline>
        </w:drawing>
      </w:r>
    </w:p>
    <w:p w14:paraId="0F5E0E36"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3.3-4 100m</w:t>
      </w:r>
      <w:r>
        <w:rPr>
          <w:rFonts w:cs="Times New Roman" w:hint="eastAsia"/>
          <w:b/>
          <w:sz w:val="24"/>
        </w:rPr>
        <w:t>高度风速及风功率密度日内变化曲线</w:t>
      </w:r>
    </w:p>
    <w:p w14:paraId="2653EECF" w14:textId="77777777" w:rsidR="00A739F2" w:rsidRDefault="00597D48">
      <w:pPr>
        <w:rPr>
          <w:rFonts w:cs="方正仿宋_GB2312"/>
        </w:rPr>
      </w:pPr>
      <w:r>
        <w:rPr>
          <w:rFonts w:cs="方正仿宋_GB2312" w:hint="eastAsia"/>
        </w:rPr>
        <w:t>3</w:t>
      </w:r>
      <w:r>
        <w:rPr>
          <w:rFonts w:cs="方正仿宋_GB2312" w:hint="eastAsia"/>
        </w:rPr>
        <w:t>）主风能和主风向</w:t>
      </w:r>
    </w:p>
    <w:p w14:paraId="7CFD2FB8" w14:textId="77777777" w:rsidR="00A739F2" w:rsidRDefault="00597D48">
      <w:pPr>
        <w:rPr>
          <w:rFonts w:cs="方正仿宋_GB2312"/>
        </w:rPr>
      </w:pPr>
      <w:r>
        <w:rPr>
          <w:rFonts w:cs="方正仿宋_GB2312" w:hint="eastAsia"/>
        </w:rPr>
        <w:t>100m</w:t>
      </w:r>
      <w:r>
        <w:rPr>
          <w:rFonts w:cs="方正仿宋_GB2312" w:hint="eastAsia"/>
        </w:rPr>
        <w:t>高度的主风能为</w:t>
      </w:r>
      <w:r>
        <w:rPr>
          <w:rFonts w:cs="方正仿宋_GB2312" w:hint="eastAsia"/>
        </w:rPr>
        <w:t>NW</w:t>
      </w:r>
      <w:r>
        <w:rPr>
          <w:rFonts w:cs="方正仿宋_GB2312" w:hint="eastAsia"/>
        </w:rPr>
        <w:t>，</w:t>
      </w:r>
      <w:proofErr w:type="gramStart"/>
      <w:r>
        <w:rPr>
          <w:rFonts w:cs="方正仿宋_GB2312" w:hint="eastAsia"/>
        </w:rPr>
        <w:t>次主风能</w:t>
      </w:r>
      <w:proofErr w:type="gramEnd"/>
      <w:r>
        <w:rPr>
          <w:rFonts w:cs="方正仿宋_GB2312" w:hint="eastAsia"/>
        </w:rPr>
        <w:t>为</w:t>
      </w:r>
      <w:r>
        <w:rPr>
          <w:rFonts w:cs="方正仿宋_GB2312" w:hint="eastAsia"/>
        </w:rPr>
        <w:t>WNW</w:t>
      </w:r>
      <w:r>
        <w:rPr>
          <w:rFonts w:cs="方正仿宋_GB2312" w:hint="eastAsia"/>
        </w:rPr>
        <w:t>；主风向为</w:t>
      </w:r>
      <w:r>
        <w:rPr>
          <w:rFonts w:cs="方正仿宋_GB2312" w:hint="eastAsia"/>
        </w:rPr>
        <w:t>NW</w:t>
      </w:r>
      <w:r>
        <w:rPr>
          <w:rFonts w:cs="方正仿宋_GB2312" w:hint="eastAsia"/>
        </w:rPr>
        <w:t>，</w:t>
      </w:r>
      <w:proofErr w:type="gramStart"/>
      <w:r>
        <w:rPr>
          <w:rFonts w:cs="方正仿宋_GB2312" w:hint="eastAsia"/>
        </w:rPr>
        <w:t>次主风向</w:t>
      </w:r>
      <w:proofErr w:type="gramEnd"/>
      <w:r>
        <w:rPr>
          <w:rFonts w:cs="方正仿宋_GB2312" w:hint="eastAsia"/>
        </w:rPr>
        <w:t>为</w:t>
      </w:r>
      <w:r>
        <w:rPr>
          <w:rFonts w:cs="方正仿宋_GB2312" w:hint="eastAsia"/>
        </w:rPr>
        <w:t>WNW</w:t>
      </w:r>
      <w:r>
        <w:rPr>
          <w:rFonts w:cs="方正仿宋_GB2312" w:hint="eastAsia"/>
        </w:rPr>
        <w:t>。</w:t>
      </w:r>
    </w:p>
    <w:p w14:paraId="181CB2B6" w14:textId="77777777" w:rsidR="00A739F2" w:rsidRDefault="00597D48">
      <w:pPr>
        <w:snapToGrid w:val="0"/>
        <w:spacing w:beforeLines="50" w:before="156"/>
        <w:ind w:firstLine="482"/>
        <w:jc w:val="center"/>
        <w:rPr>
          <w:rFonts w:cs="仿宋_GB2312"/>
          <w:b/>
          <w:color w:val="000000" w:themeColor="text1"/>
          <w:sz w:val="24"/>
          <w:szCs w:val="21"/>
        </w:rPr>
      </w:pPr>
      <w:r>
        <w:rPr>
          <w:rFonts w:cs="仿宋_GB2312" w:hint="eastAsia"/>
          <w:b/>
          <w:color w:val="000000" w:themeColor="text1"/>
          <w:sz w:val="24"/>
          <w:szCs w:val="21"/>
        </w:rPr>
        <w:t>表</w:t>
      </w:r>
      <w:r>
        <w:rPr>
          <w:rFonts w:cs="仿宋_GB2312" w:hint="eastAsia"/>
          <w:b/>
          <w:color w:val="000000" w:themeColor="text1"/>
          <w:sz w:val="24"/>
          <w:szCs w:val="21"/>
        </w:rPr>
        <w:t xml:space="preserve">3.3-3     </w:t>
      </w:r>
      <w:r>
        <w:rPr>
          <w:rFonts w:cs="仿宋_GB2312" w:hint="eastAsia"/>
          <w:b/>
          <w:color w:val="000000" w:themeColor="text1"/>
          <w:sz w:val="24"/>
          <w:szCs w:val="21"/>
        </w:rPr>
        <w:t>风能频率统计表</w:t>
      </w:r>
    </w:p>
    <w:tbl>
      <w:tblPr>
        <w:tblW w:w="4998"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2522"/>
        <w:gridCol w:w="3267"/>
        <w:gridCol w:w="3268"/>
      </w:tblGrid>
      <w:tr w:rsidR="00A739F2" w14:paraId="1E34DFDB" w14:textId="77777777">
        <w:trPr>
          <w:trHeight w:val="285"/>
          <w:tblHeader/>
          <w:jc w:val="center"/>
        </w:trPr>
        <w:tc>
          <w:tcPr>
            <w:tcW w:w="1392" w:type="pct"/>
            <w:tcBorders>
              <w:tl2br w:val="nil"/>
              <w:tr2bl w:val="nil"/>
            </w:tcBorders>
            <w:shd w:val="clear" w:color="auto" w:fill="auto"/>
            <w:noWrap/>
            <w:vAlign w:val="center"/>
          </w:tcPr>
          <w:p w14:paraId="2000B62D" w14:textId="77777777" w:rsidR="00A739F2" w:rsidRDefault="00597D48">
            <w:pPr>
              <w:ind w:firstLineChars="0" w:firstLine="0"/>
              <w:jc w:val="center"/>
              <w:rPr>
                <w:rFonts w:cs="Times New Roman"/>
                <w:kern w:val="0"/>
                <w:sz w:val="24"/>
                <w:szCs w:val="24"/>
              </w:rPr>
            </w:pPr>
            <w:r>
              <w:rPr>
                <w:rFonts w:cs="Times New Roman"/>
                <w:kern w:val="0"/>
                <w:sz w:val="24"/>
                <w:szCs w:val="24"/>
              </w:rPr>
              <w:t>扇区</w:t>
            </w:r>
          </w:p>
        </w:tc>
        <w:tc>
          <w:tcPr>
            <w:tcW w:w="1803" w:type="pct"/>
            <w:tcBorders>
              <w:tl2br w:val="nil"/>
              <w:tr2bl w:val="nil"/>
            </w:tcBorders>
            <w:shd w:val="clear" w:color="auto" w:fill="auto"/>
            <w:noWrap/>
            <w:vAlign w:val="center"/>
          </w:tcPr>
          <w:p w14:paraId="5659AFD1" w14:textId="77777777" w:rsidR="00A739F2" w:rsidRDefault="00597D48">
            <w:pPr>
              <w:ind w:firstLineChars="0" w:firstLine="0"/>
              <w:jc w:val="center"/>
              <w:rPr>
                <w:rFonts w:cs="Times New Roman"/>
                <w:kern w:val="0"/>
                <w:sz w:val="24"/>
                <w:szCs w:val="24"/>
              </w:rPr>
            </w:pPr>
            <w:r>
              <w:rPr>
                <w:rFonts w:cs="Times New Roman"/>
                <w:kern w:val="0"/>
                <w:sz w:val="24"/>
                <w:szCs w:val="24"/>
              </w:rPr>
              <w:t>风向频率</w:t>
            </w:r>
          </w:p>
        </w:tc>
        <w:tc>
          <w:tcPr>
            <w:tcW w:w="1803" w:type="pct"/>
            <w:tcBorders>
              <w:tl2br w:val="nil"/>
              <w:tr2bl w:val="nil"/>
            </w:tcBorders>
            <w:shd w:val="clear" w:color="auto" w:fill="auto"/>
            <w:noWrap/>
            <w:vAlign w:val="center"/>
          </w:tcPr>
          <w:p w14:paraId="49BACC1A" w14:textId="77777777" w:rsidR="00A739F2" w:rsidRDefault="00597D48">
            <w:pPr>
              <w:ind w:firstLineChars="0" w:firstLine="0"/>
              <w:jc w:val="center"/>
              <w:rPr>
                <w:rFonts w:cs="Times New Roman"/>
                <w:kern w:val="0"/>
                <w:sz w:val="24"/>
                <w:szCs w:val="24"/>
              </w:rPr>
            </w:pPr>
            <w:r>
              <w:rPr>
                <w:rFonts w:cs="Times New Roman"/>
                <w:kern w:val="0"/>
                <w:sz w:val="24"/>
                <w:szCs w:val="24"/>
              </w:rPr>
              <w:t>风能频率</w:t>
            </w:r>
          </w:p>
        </w:tc>
      </w:tr>
      <w:tr w:rsidR="00A739F2" w14:paraId="07AEC58D" w14:textId="77777777">
        <w:trPr>
          <w:trHeight w:val="285"/>
          <w:jc w:val="center"/>
        </w:trPr>
        <w:tc>
          <w:tcPr>
            <w:tcW w:w="1392" w:type="pct"/>
            <w:tcBorders>
              <w:tl2br w:val="nil"/>
              <w:tr2bl w:val="nil"/>
            </w:tcBorders>
            <w:shd w:val="clear" w:color="auto" w:fill="auto"/>
            <w:noWrap/>
            <w:vAlign w:val="bottom"/>
          </w:tcPr>
          <w:p w14:paraId="6D7CA94D"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N</w:t>
            </w:r>
          </w:p>
        </w:tc>
        <w:tc>
          <w:tcPr>
            <w:tcW w:w="1803" w:type="pct"/>
            <w:tcBorders>
              <w:tl2br w:val="nil"/>
              <w:tr2bl w:val="nil"/>
            </w:tcBorders>
            <w:shd w:val="clear" w:color="auto" w:fill="auto"/>
            <w:noWrap/>
            <w:vAlign w:val="bottom"/>
          </w:tcPr>
          <w:p w14:paraId="6277D985"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4.64%</w:t>
            </w:r>
          </w:p>
        </w:tc>
        <w:tc>
          <w:tcPr>
            <w:tcW w:w="1803" w:type="pct"/>
            <w:tcBorders>
              <w:tl2br w:val="nil"/>
              <w:tr2bl w:val="nil"/>
            </w:tcBorders>
            <w:shd w:val="clear" w:color="auto" w:fill="auto"/>
            <w:noWrap/>
            <w:vAlign w:val="bottom"/>
          </w:tcPr>
          <w:p w14:paraId="2AE0A88C"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2.67%</w:t>
            </w:r>
          </w:p>
        </w:tc>
      </w:tr>
      <w:tr w:rsidR="00A739F2" w14:paraId="789E8CD0" w14:textId="77777777">
        <w:trPr>
          <w:trHeight w:val="285"/>
          <w:jc w:val="center"/>
        </w:trPr>
        <w:tc>
          <w:tcPr>
            <w:tcW w:w="1392" w:type="pct"/>
            <w:tcBorders>
              <w:tl2br w:val="nil"/>
              <w:tr2bl w:val="nil"/>
            </w:tcBorders>
            <w:shd w:val="clear" w:color="auto" w:fill="auto"/>
            <w:noWrap/>
            <w:vAlign w:val="bottom"/>
          </w:tcPr>
          <w:p w14:paraId="56DD58A9"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NNE</w:t>
            </w:r>
          </w:p>
        </w:tc>
        <w:tc>
          <w:tcPr>
            <w:tcW w:w="1803" w:type="pct"/>
            <w:tcBorders>
              <w:tl2br w:val="nil"/>
              <w:tr2bl w:val="nil"/>
            </w:tcBorders>
            <w:shd w:val="clear" w:color="auto" w:fill="auto"/>
            <w:noWrap/>
            <w:vAlign w:val="bottom"/>
          </w:tcPr>
          <w:p w14:paraId="049F2C35"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3.20%</w:t>
            </w:r>
          </w:p>
        </w:tc>
        <w:tc>
          <w:tcPr>
            <w:tcW w:w="1803" w:type="pct"/>
            <w:tcBorders>
              <w:tl2br w:val="nil"/>
              <w:tr2bl w:val="nil"/>
            </w:tcBorders>
            <w:shd w:val="clear" w:color="auto" w:fill="auto"/>
            <w:noWrap/>
            <w:vAlign w:val="bottom"/>
          </w:tcPr>
          <w:p w14:paraId="696F947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1.92%</w:t>
            </w:r>
          </w:p>
        </w:tc>
      </w:tr>
      <w:tr w:rsidR="00A739F2" w14:paraId="3A9D833B" w14:textId="77777777">
        <w:trPr>
          <w:trHeight w:val="285"/>
          <w:jc w:val="center"/>
        </w:trPr>
        <w:tc>
          <w:tcPr>
            <w:tcW w:w="1392" w:type="pct"/>
            <w:tcBorders>
              <w:tl2br w:val="nil"/>
              <w:tr2bl w:val="nil"/>
            </w:tcBorders>
            <w:shd w:val="clear" w:color="auto" w:fill="auto"/>
            <w:noWrap/>
            <w:vAlign w:val="bottom"/>
          </w:tcPr>
          <w:p w14:paraId="758CF8A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NE</w:t>
            </w:r>
          </w:p>
        </w:tc>
        <w:tc>
          <w:tcPr>
            <w:tcW w:w="1803" w:type="pct"/>
            <w:tcBorders>
              <w:tl2br w:val="nil"/>
              <w:tr2bl w:val="nil"/>
            </w:tcBorders>
            <w:shd w:val="clear" w:color="auto" w:fill="auto"/>
            <w:noWrap/>
            <w:vAlign w:val="bottom"/>
          </w:tcPr>
          <w:p w14:paraId="3C2B1613"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2.47%</w:t>
            </w:r>
          </w:p>
        </w:tc>
        <w:tc>
          <w:tcPr>
            <w:tcW w:w="1803" w:type="pct"/>
            <w:tcBorders>
              <w:tl2br w:val="nil"/>
              <w:tr2bl w:val="nil"/>
            </w:tcBorders>
            <w:shd w:val="clear" w:color="auto" w:fill="auto"/>
            <w:noWrap/>
            <w:vAlign w:val="bottom"/>
          </w:tcPr>
          <w:p w14:paraId="5BFAABCB"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0.86%</w:t>
            </w:r>
          </w:p>
        </w:tc>
      </w:tr>
      <w:tr w:rsidR="00A739F2" w14:paraId="5303DD14" w14:textId="77777777">
        <w:trPr>
          <w:trHeight w:val="285"/>
          <w:jc w:val="center"/>
        </w:trPr>
        <w:tc>
          <w:tcPr>
            <w:tcW w:w="1392" w:type="pct"/>
            <w:tcBorders>
              <w:tl2br w:val="nil"/>
              <w:tr2bl w:val="nil"/>
            </w:tcBorders>
            <w:shd w:val="clear" w:color="auto" w:fill="auto"/>
            <w:noWrap/>
            <w:vAlign w:val="bottom"/>
          </w:tcPr>
          <w:p w14:paraId="47C04B45" w14:textId="77777777" w:rsidR="00A739F2" w:rsidRDefault="00597D48">
            <w:pPr>
              <w:ind w:firstLineChars="0" w:firstLine="0"/>
              <w:jc w:val="center"/>
              <w:rPr>
                <w:rFonts w:cs="Times New Roman"/>
                <w:kern w:val="0"/>
                <w:sz w:val="24"/>
                <w:szCs w:val="24"/>
              </w:rPr>
            </w:pPr>
            <w:r>
              <w:rPr>
                <w:rFonts w:cs="Times New Roman" w:hint="eastAsia"/>
                <w:kern w:val="0"/>
                <w:sz w:val="24"/>
                <w:szCs w:val="24"/>
              </w:rPr>
              <w:lastRenderedPageBreak/>
              <w:t>ENE</w:t>
            </w:r>
          </w:p>
        </w:tc>
        <w:tc>
          <w:tcPr>
            <w:tcW w:w="1803" w:type="pct"/>
            <w:tcBorders>
              <w:tl2br w:val="nil"/>
              <w:tr2bl w:val="nil"/>
            </w:tcBorders>
            <w:shd w:val="clear" w:color="auto" w:fill="auto"/>
            <w:noWrap/>
            <w:vAlign w:val="bottom"/>
          </w:tcPr>
          <w:p w14:paraId="371471EE"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2.54%</w:t>
            </w:r>
          </w:p>
        </w:tc>
        <w:tc>
          <w:tcPr>
            <w:tcW w:w="1803" w:type="pct"/>
            <w:tcBorders>
              <w:tl2br w:val="nil"/>
              <w:tr2bl w:val="nil"/>
            </w:tcBorders>
            <w:shd w:val="clear" w:color="auto" w:fill="auto"/>
            <w:noWrap/>
            <w:vAlign w:val="bottom"/>
          </w:tcPr>
          <w:p w14:paraId="26638577"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0.68%</w:t>
            </w:r>
          </w:p>
        </w:tc>
      </w:tr>
      <w:tr w:rsidR="00A739F2" w14:paraId="2676BA13" w14:textId="77777777">
        <w:trPr>
          <w:trHeight w:val="285"/>
          <w:jc w:val="center"/>
        </w:trPr>
        <w:tc>
          <w:tcPr>
            <w:tcW w:w="1392" w:type="pct"/>
            <w:tcBorders>
              <w:tl2br w:val="nil"/>
              <w:tr2bl w:val="nil"/>
            </w:tcBorders>
            <w:shd w:val="clear" w:color="auto" w:fill="auto"/>
            <w:noWrap/>
            <w:vAlign w:val="bottom"/>
          </w:tcPr>
          <w:p w14:paraId="5645209B"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ENE</w:t>
            </w:r>
          </w:p>
        </w:tc>
        <w:tc>
          <w:tcPr>
            <w:tcW w:w="1803" w:type="pct"/>
            <w:tcBorders>
              <w:tl2br w:val="nil"/>
              <w:tr2bl w:val="nil"/>
            </w:tcBorders>
            <w:shd w:val="clear" w:color="auto" w:fill="auto"/>
            <w:noWrap/>
            <w:vAlign w:val="bottom"/>
          </w:tcPr>
          <w:p w14:paraId="3500BA11"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2.02%</w:t>
            </w:r>
          </w:p>
        </w:tc>
        <w:tc>
          <w:tcPr>
            <w:tcW w:w="1803" w:type="pct"/>
            <w:tcBorders>
              <w:tl2br w:val="nil"/>
              <w:tr2bl w:val="nil"/>
            </w:tcBorders>
            <w:shd w:val="clear" w:color="auto" w:fill="auto"/>
            <w:noWrap/>
            <w:vAlign w:val="bottom"/>
          </w:tcPr>
          <w:p w14:paraId="77EEFD42"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0.56%</w:t>
            </w:r>
          </w:p>
        </w:tc>
      </w:tr>
      <w:tr w:rsidR="00A739F2" w14:paraId="4668CC29" w14:textId="77777777">
        <w:trPr>
          <w:trHeight w:val="285"/>
          <w:jc w:val="center"/>
        </w:trPr>
        <w:tc>
          <w:tcPr>
            <w:tcW w:w="1392" w:type="pct"/>
            <w:tcBorders>
              <w:tl2br w:val="nil"/>
              <w:tr2bl w:val="nil"/>
            </w:tcBorders>
            <w:shd w:val="clear" w:color="auto" w:fill="auto"/>
            <w:noWrap/>
            <w:vAlign w:val="bottom"/>
          </w:tcPr>
          <w:p w14:paraId="33CD305D"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ESE</w:t>
            </w:r>
          </w:p>
        </w:tc>
        <w:tc>
          <w:tcPr>
            <w:tcW w:w="1803" w:type="pct"/>
            <w:tcBorders>
              <w:tl2br w:val="nil"/>
              <w:tr2bl w:val="nil"/>
            </w:tcBorders>
            <w:shd w:val="clear" w:color="auto" w:fill="auto"/>
            <w:noWrap/>
            <w:vAlign w:val="bottom"/>
          </w:tcPr>
          <w:p w14:paraId="61C521DF"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1.88%</w:t>
            </w:r>
          </w:p>
        </w:tc>
        <w:tc>
          <w:tcPr>
            <w:tcW w:w="1803" w:type="pct"/>
            <w:tcBorders>
              <w:tl2br w:val="nil"/>
              <w:tr2bl w:val="nil"/>
            </w:tcBorders>
            <w:shd w:val="clear" w:color="auto" w:fill="auto"/>
            <w:noWrap/>
            <w:vAlign w:val="bottom"/>
          </w:tcPr>
          <w:p w14:paraId="62B149CB"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0.53%</w:t>
            </w:r>
          </w:p>
        </w:tc>
      </w:tr>
      <w:tr w:rsidR="00A739F2" w14:paraId="7E55B7E7" w14:textId="77777777">
        <w:trPr>
          <w:trHeight w:val="285"/>
          <w:jc w:val="center"/>
        </w:trPr>
        <w:tc>
          <w:tcPr>
            <w:tcW w:w="1392" w:type="pct"/>
            <w:tcBorders>
              <w:tl2br w:val="nil"/>
              <w:tr2bl w:val="nil"/>
            </w:tcBorders>
            <w:shd w:val="clear" w:color="auto" w:fill="auto"/>
            <w:noWrap/>
            <w:vAlign w:val="bottom"/>
          </w:tcPr>
          <w:p w14:paraId="3D6D0B73"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SE</w:t>
            </w:r>
          </w:p>
        </w:tc>
        <w:tc>
          <w:tcPr>
            <w:tcW w:w="1803" w:type="pct"/>
            <w:tcBorders>
              <w:tl2br w:val="nil"/>
              <w:tr2bl w:val="nil"/>
            </w:tcBorders>
            <w:shd w:val="clear" w:color="auto" w:fill="auto"/>
            <w:noWrap/>
            <w:vAlign w:val="bottom"/>
          </w:tcPr>
          <w:p w14:paraId="1B5D0A5B"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3.76%</w:t>
            </w:r>
          </w:p>
        </w:tc>
        <w:tc>
          <w:tcPr>
            <w:tcW w:w="1803" w:type="pct"/>
            <w:tcBorders>
              <w:tl2br w:val="nil"/>
              <w:tr2bl w:val="nil"/>
            </w:tcBorders>
            <w:shd w:val="clear" w:color="auto" w:fill="auto"/>
            <w:noWrap/>
            <w:vAlign w:val="bottom"/>
          </w:tcPr>
          <w:p w14:paraId="5B62F4C9"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2.45%</w:t>
            </w:r>
          </w:p>
        </w:tc>
      </w:tr>
      <w:tr w:rsidR="00A739F2" w14:paraId="26EC0068" w14:textId="77777777">
        <w:trPr>
          <w:trHeight w:val="285"/>
          <w:jc w:val="center"/>
        </w:trPr>
        <w:tc>
          <w:tcPr>
            <w:tcW w:w="1392" w:type="pct"/>
            <w:tcBorders>
              <w:tl2br w:val="nil"/>
              <w:tr2bl w:val="nil"/>
            </w:tcBorders>
            <w:shd w:val="clear" w:color="auto" w:fill="auto"/>
            <w:noWrap/>
            <w:vAlign w:val="bottom"/>
          </w:tcPr>
          <w:p w14:paraId="397D26E8"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SSE</w:t>
            </w:r>
          </w:p>
        </w:tc>
        <w:tc>
          <w:tcPr>
            <w:tcW w:w="1803" w:type="pct"/>
            <w:tcBorders>
              <w:tl2br w:val="nil"/>
              <w:tr2bl w:val="nil"/>
            </w:tcBorders>
            <w:shd w:val="clear" w:color="auto" w:fill="auto"/>
            <w:noWrap/>
            <w:vAlign w:val="bottom"/>
          </w:tcPr>
          <w:p w14:paraId="114A7437"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7.57%</w:t>
            </w:r>
          </w:p>
        </w:tc>
        <w:tc>
          <w:tcPr>
            <w:tcW w:w="1803" w:type="pct"/>
            <w:tcBorders>
              <w:tl2br w:val="nil"/>
              <w:tr2bl w:val="nil"/>
            </w:tcBorders>
            <w:shd w:val="clear" w:color="auto" w:fill="auto"/>
            <w:noWrap/>
            <w:vAlign w:val="bottom"/>
          </w:tcPr>
          <w:p w14:paraId="705924F7"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7.37%</w:t>
            </w:r>
          </w:p>
        </w:tc>
      </w:tr>
      <w:tr w:rsidR="00A739F2" w14:paraId="2419283C" w14:textId="77777777">
        <w:trPr>
          <w:trHeight w:val="285"/>
          <w:jc w:val="center"/>
        </w:trPr>
        <w:tc>
          <w:tcPr>
            <w:tcW w:w="1392" w:type="pct"/>
            <w:tcBorders>
              <w:tl2br w:val="nil"/>
              <w:tr2bl w:val="nil"/>
            </w:tcBorders>
            <w:shd w:val="clear" w:color="auto" w:fill="auto"/>
            <w:noWrap/>
            <w:vAlign w:val="bottom"/>
          </w:tcPr>
          <w:p w14:paraId="46D8662E"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S</w:t>
            </w:r>
          </w:p>
        </w:tc>
        <w:tc>
          <w:tcPr>
            <w:tcW w:w="1803" w:type="pct"/>
            <w:tcBorders>
              <w:tl2br w:val="nil"/>
              <w:tr2bl w:val="nil"/>
            </w:tcBorders>
            <w:shd w:val="clear" w:color="auto" w:fill="auto"/>
            <w:noWrap/>
            <w:vAlign w:val="bottom"/>
          </w:tcPr>
          <w:p w14:paraId="76D4C8BA"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8.45%</w:t>
            </w:r>
          </w:p>
        </w:tc>
        <w:tc>
          <w:tcPr>
            <w:tcW w:w="1803" w:type="pct"/>
            <w:tcBorders>
              <w:tl2br w:val="nil"/>
              <w:tr2bl w:val="nil"/>
            </w:tcBorders>
            <w:shd w:val="clear" w:color="auto" w:fill="auto"/>
            <w:noWrap/>
            <w:vAlign w:val="bottom"/>
          </w:tcPr>
          <w:p w14:paraId="5C25757D"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8.44%</w:t>
            </w:r>
          </w:p>
        </w:tc>
      </w:tr>
      <w:tr w:rsidR="00A739F2" w14:paraId="4F900174" w14:textId="77777777">
        <w:trPr>
          <w:trHeight w:val="285"/>
          <w:jc w:val="center"/>
        </w:trPr>
        <w:tc>
          <w:tcPr>
            <w:tcW w:w="1392" w:type="pct"/>
            <w:tcBorders>
              <w:tl2br w:val="nil"/>
              <w:tr2bl w:val="nil"/>
            </w:tcBorders>
            <w:shd w:val="clear" w:color="auto" w:fill="auto"/>
            <w:noWrap/>
            <w:vAlign w:val="bottom"/>
          </w:tcPr>
          <w:p w14:paraId="742947E1"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SSW</w:t>
            </w:r>
          </w:p>
        </w:tc>
        <w:tc>
          <w:tcPr>
            <w:tcW w:w="1803" w:type="pct"/>
            <w:tcBorders>
              <w:tl2br w:val="nil"/>
              <w:tr2bl w:val="nil"/>
            </w:tcBorders>
            <w:shd w:val="clear" w:color="auto" w:fill="auto"/>
            <w:noWrap/>
            <w:vAlign w:val="bottom"/>
          </w:tcPr>
          <w:p w14:paraId="6EB78AE1"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7.02%</w:t>
            </w:r>
          </w:p>
        </w:tc>
        <w:tc>
          <w:tcPr>
            <w:tcW w:w="1803" w:type="pct"/>
            <w:tcBorders>
              <w:tl2br w:val="nil"/>
              <w:tr2bl w:val="nil"/>
            </w:tcBorders>
            <w:shd w:val="clear" w:color="auto" w:fill="auto"/>
            <w:noWrap/>
            <w:vAlign w:val="bottom"/>
          </w:tcPr>
          <w:p w14:paraId="1257DB98"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4.48%</w:t>
            </w:r>
          </w:p>
        </w:tc>
      </w:tr>
      <w:tr w:rsidR="00A739F2" w14:paraId="6EF64C93" w14:textId="77777777">
        <w:trPr>
          <w:trHeight w:val="285"/>
          <w:jc w:val="center"/>
        </w:trPr>
        <w:tc>
          <w:tcPr>
            <w:tcW w:w="1392" w:type="pct"/>
            <w:tcBorders>
              <w:tl2br w:val="nil"/>
              <w:tr2bl w:val="nil"/>
            </w:tcBorders>
            <w:shd w:val="clear" w:color="auto" w:fill="auto"/>
            <w:noWrap/>
            <w:vAlign w:val="bottom"/>
          </w:tcPr>
          <w:p w14:paraId="6294918F"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SW</w:t>
            </w:r>
          </w:p>
        </w:tc>
        <w:tc>
          <w:tcPr>
            <w:tcW w:w="1803" w:type="pct"/>
            <w:tcBorders>
              <w:tl2br w:val="nil"/>
              <w:tr2bl w:val="nil"/>
            </w:tcBorders>
            <w:shd w:val="clear" w:color="auto" w:fill="auto"/>
            <w:noWrap/>
            <w:vAlign w:val="bottom"/>
          </w:tcPr>
          <w:p w14:paraId="78A113A8"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6.33%</w:t>
            </w:r>
          </w:p>
        </w:tc>
        <w:tc>
          <w:tcPr>
            <w:tcW w:w="1803" w:type="pct"/>
            <w:tcBorders>
              <w:tl2br w:val="nil"/>
              <w:tr2bl w:val="nil"/>
            </w:tcBorders>
            <w:shd w:val="clear" w:color="auto" w:fill="auto"/>
            <w:noWrap/>
            <w:vAlign w:val="bottom"/>
          </w:tcPr>
          <w:p w14:paraId="567C05C5"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3.68%</w:t>
            </w:r>
          </w:p>
        </w:tc>
      </w:tr>
      <w:tr w:rsidR="00A739F2" w14:paraId="5E97B1FF" w14:textId="77777777">
        <w:trPr>
          <w:trHeight w:val="285"/>
          <w:jc w:val="center"/>
        </w:trPr>
        <w:tc>
          <w:tcPr>
            <w:tcW w:w="1392" w:type="pct"/>
            <w:tcBorders>
              <w:tl2br w:val="nil"/>
              <w:tr2bl w:val="nil"/>
            </w:tcBorders>
            <w:shd w:val="clear" w:color="auto" w:fill="auto"/>
            <w:noWrap/>
            <w:vAlign w:val="bottom"/>
          </w:tcPr>
          <w:p w14:paraId="79E4A6D3"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WSW</w:t>
            </w:r>
          </w:p>
        </w:tc>
        <w:tc>
          <w:tcPr>
            <w:tcW w:w="1803" w:type="pct"/>
            <w:tcBorders>
              <w:tl2br w:val="nil"/>
              <w:tr2bl w:val="nil"/>
            </w:tcBorders>
            <w:shd w:val="clear" w:color="auto" w:fill="auto"/>
            <w:noWrap/>
            <w:vAlign w:val="bottom"/>
          </w:tcPr>
          <w:p w14:paraId="53E0DD92"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7.37%</w:t>
            </w:r>
          </w:p>
        </w:tc>
        <w:tc>
          <w:tcPr>
            <w:tcW w:w="1803" w:type="pct"/>
            <w:tcBorders>
              <w:tl2br w:val="nil"/>
              <w:tr2bl w:val="nil"/>
            </w:tcBorders>
            <w:shd w:val="clear" w:color="auto" w:fill="auto"/>
            <w:noWrap/>
            <w:vAlign w:val="bottom"/>
          </w:tcPr>
          <w:p w14:paraId="74A0F9AF"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6.43%</w:t>
            </w:r>
          </w:p>
        </w:tc>
      </w:tr>
      <w:tr w:rsidR="00A739F2" w14:paraId="697E9D2D" w14:textId="77777777">
        <w:trPr>
          <w:trHeight w:val="285"/>
          <w:jc w:val="center"/>
        </w:trPr>
        <w:tc>
          <w:tcPr>
            <w:tcW w:w="1392" w:type="pct"/>
            <w:tcBorders>
              <w:tl2br w:val="nil"/>
              <w:tr2bl w:val="nil"/>
            </w:tcBorders>
            <w:shd w:val="clear" w:color="auto" w:fill="auto"/>
            <w:noWrap/>
            <w:vAlign w:val="bottom"/>
          </w:tcPr>
          <w:p w14:paraId="7C94748D"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W</w:t>
            </w:r>
          </w:p>
        </w:tc>
        <w:tc>
          <w:tcPr>
            <w:tcW w:w="1803" w:type="pct"/>
            <w:tcBorders>
              <w:tl2br w:val="nil"/>
              <w:tr2bl w:val="nil"/>
            </w:tcBorders>
            <w:shd w:val="clear" w:color="auto" w:fill="auto"/>
            <w:noWrap/>
            <w:vAlign w:val="bottom"/>
          </w:tcPr>
          <w:p w14:paraId="66483B28"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10.20%</w:t>
            </w:r>
          </w:p>
        </w:tc>
        <w:tc>
          <w:tcPr>
            <w:tcW w:w="1803" w:type="pct"/>
            <w:tcBorders>
              <w:tl2br w:val="nil"/>
              <w:tr2bl w:val="nil"/>
            </w:tcBorders>
            <w:shd w:val="clear" w:color="auto" w:fill="auto"/>
            <w:noWrap/>
            <w:vAlign w:val="bottom"/>
          </w:tcPr>
          <w:p w14:paraId="7C126A22"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13.91%</w:t>
            </w:r>
          </w:p>
        </w:tc>
      </w:tr>
      <w:tr w:rsidR="00A739F2" w14:paraId="0835B0F4" w14:textId="77777777">
        <w:trPr>
          <w:trHeight w:val="285"/>
          <w:jc w:val="center"/>
        </w:trPr>
        <w:tc>
          <w:tcPr>
            <w:tcW w:w="1392" w:type="pct"/>
            <w:tcBorders>
              <w:tl2br w:val="nil"/>
              <w:tr2bl w:val="nil"/>
            </w:tcBorders>
            <w:shd w:val="clear" w:color="auto" w:fill="auto"/>
            <w:noWrap/>
            <w:vAlign w:val="bottom"/>
          </w:tcPr>
          <w:p w14:paraId="3960A6E2"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WNW</w:t>
            </w:r>
          </w:p>
        </w:tc>
        <w:tc>
          <w:tcPr>
            <w:tcW w:w="1803" w:type="pct"/>
            <w:tcBorders>
              <w:tl2br w:val="nil"/>
              <w:tr2bl w:val="nil"/>
            </w:tcBorders>
            <w:shd w:val="clear" w:color="auto" w:fill="auto"/>
            <w:noWrap/>
            <w:vAlign w:val="bottom"/>
          </w:tcPr>
          <w:p w14:paraId="4BEEF648"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11.30%</w:t>
            </w:r>
          </w:p>
        </w:tc>
        <w:tc>
          <w:tcPr>
            <w:tcW w:w="1803" w:type="pct"/>
            <w:tcBorders>
              <w:tl2br w:val="nil"/>
              <w:tr2bl w:val="nil"/>
            </w:tcBorders>
            <w:shd w:val="clear" w:color="auto" w:fill="auto"/>
            <w:noWrap/>
            <w:vAlign w:val="bottom"/>
          </w:tcPr>
          <w:p w14:paraId="296AFB41"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18.38%</w:t>
            </w:r>
          </w:p>
        </w:tc>
      </w:tr>
      <w:tr w:rsidR="00A739F2" w14:paraId="71428C7F" w14:textId="77777777">
        <w:trPr>
          <w:trHeight w:val="285"/>
          <w:jc w:val="center"/>
        </w:trPr>
        <w:tc>
          <w:tcPr>
            <w:tcW w:w="1392" w:type="pct"/>
            <w:tcBorders>
              <w:tl2br w:val="nil"/>
              <w:tr2bl w:val="nil"/>
            </w:tcBorders>
            <w:shd w:val="clear" w:color="auto" w:fill="auto"/>
            <w:noWrap/>
            <w:vAlign w:val="bottom"/>
          </w:tcPr>
          <w:p w14:paraId="0ED226EF"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NW</w:t>
            </w:r>
          </w:p>
        </w:tc>
        <w:tc>
          <w:tcPr>
            <w:tcW w:w="1803" w:type="pct"/>
            <w:tcBorders>
              <w:tl2br w:val="nil"/>
              <w:tr2bl w:val="nil"/>
            </w:tcBorders>
            <w:shd w:val="clear" w:color="auto" w:fill="auto"/>
            <w:noWrap/>
            <w:vAlign w:val="bottom"/>
          </w:tcPr>
          <w:p w14:paraId="2F2C4B55"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13.52%</w:t>
            </w:r>
          </w:p>
        </w:tc>
        <w:tc>
          <w:tcPr>
            <w:tcW w:w="1803" w:type="pct"/>
            <w:tcBorders>
              <w:tl2br w:val="nil"/>
              <w:tr2bl w:val="nil"/>
            </w:tcBorders>
            <w:shd w:val="clear" w:color="auto" w:fill="auto"/>
            <w:noWrap/>
            <w:vAlign w:val="bottom"/>
          </w:tcPr>
          <w:p w14:paraId="5152D1AC"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19.73%</w:t>
            </w:r>
          </w:p>
        </w:tc>
      </w:tr>
      <w:tr w:rsidR="00A739F2" w14:paraId="1FC33D4B" w14:textId="77777777">
        <w:trPr>
          <w:trHeight w:val="285"/>
          <w:jc w:val="center"/>
        </w:trPr>
        <w:tc>
          <w:tcPr>
            <w:tcW w:w="1392" w:type="pct"/>
            <w:tcBorders>
              <w:tl2br w:val="nil"/>
              <w:tr2bl w:val="nil"/>
            </w:tcBorders>
            <w:shd w:val="clear" w:color="auto" w:fill="auto"/>
            <w:noWrap/>
            <w:vAlign w:val="bottom"/>
          </w:tcPr>
          <w:p w14:paraId="2114DC4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NNW</w:t>
            </w:r>
          </w:p>
        </w:tc>
        <w:tc>
          <w:tcPr>
            <w:tcW w:w="1803" w:type="pct"/>
            <w:tcBorders>
              <w:tl2br w:val="nil"/>
              <w:tr2bl w:val="nil"/>
            </w:tcBorders>
            <w:shd w:val="clear" w:color="auto" w:fill="auto"/>
            <w:noWrap/>
            <w:vAlign w:val="bottom"/>
          </w:tcPr>
          <w:p w14:paraId="38523D52"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7.73%</w:t>
            </w:r>
          </w:p>
        </w:tc>
        <w:tc>
          <w:tcPr>
            <w:tcW w:w="1803" w:type="pct"/>
            <w:tcBorders>
              <w:tl2br w:val="nil"/>
              <w:tr2bl w:val="nil"/>
            </w:tcBorders>
            <w:shd w:val="clear" w:color="auto" w:fill="auto"/>
            <w:noWrap/>
            <w:vAlign w:val="bottom"/>
          </w:tcPr>
          <w:p w14:paraId="460743DD"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7.90%</w:t>
            </w:r>
          </w:p>
        </w:tc>
      </w:tr>
    </w:tbl>
    <w:p w14:paraId="20132F14" w14:textId="77777777" w:rsidR="00A739F2" w:rsidRDefault="00597D48">
      <w:pPr>
        <w:ind w:firstLineChars="1" w:firstLine="3"/>
        <w:jc w:val="center"/>
        <w:rPr>
          <w:rFonts w:cs="Times New Roman"/>
          <w:sz w:val="21"/>
        </w:rPr>
      </w:pPr>
      <w:r>
        <w:rPr>
          <w:noProof/>
        </w:rPr>
        <w:drawing>
          <wp:inline distT="0" distB="0" distL="114300" distR="114300" wp14:anchorId="3533F00C" wp14:editId="248CDC6B">
            <wp:extent cx="2157730" cy="2157730"/>
            <wp:effectExtent l="0" t="0" r="6350" b="6350"/>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20"/>
                    <a:stretch>
                      <a:fillRect/>
                    </a:stretch>
                  </pic:blipFill>
                  <pic:spPr>
                    <a:xfrm>
                      <a:off x="0" y="0"/>
                      <a:ext cx="2157730" cy="2157730"/>
                    </a:xfrm>
                    <a:prstGeom prst="rect">
                      <a:avLst/>
                    </a:prstGeom>
                    <a:noFill/>
                    <a:ln>
                      <a:noFill/>
                    </a:ln>
                  </pic:spPr>
                </pic:pic>
              </a:graphicData>
            </a:graphic>
          </wp:inline>
        </w:drawing>
      </w:r>
      <w:r>
        <w:rPr>
          <w:noProof/>
        </w:rPr>
        <w:drawing>
          <wp:inline distT="0" distB="0" distL="114300" distR="114300" wp14:anchorId="4AF0C977" wp14:editId="126DB6D8">
            <wp:extent cx="2176145" cy="2170430"/>
            <wp:effectExtent l="0" t="0" r="3175" b="889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21"/>
                    <a:stretch>
                      <a:fillRect/>
                    </a:stretch>
                  </pic:blipFill>
                  <pic:spPr>
                    <a:xfrm>
                      <a:off x="0" y="0"/>
                      <a:ext cx="2176145" cy="2170430"/>
                    </a:xfrm>
                    <a:prstGeom prst="rect">
                      <a:avLst/>
                    </a:prstGeom>
                    <a:noFill/>
                    <a:ln>
                      <a:noFill/>
                    </a:ln>
                  </pic:spPr>
                </pic:pic>
              </a:graphicData>
            </a:graphic>
          </wp:inline>
        </w:drawing>
      </w:r>
    </w:p>
    <w:p w14:paraId="1B01DB06"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3.3-5    100m</w:t>
      </w:r>
      <w:r>
        <w:rPr>
          <w:rFonts w:cs="Times New Roman" w:hint="eastAsia"/>
          <w:b/>
          <w:sz w:val="24"/>
        </w:rPr>
        <w:t>高度风能风向玫瑰图</w:t>
      </w:r>
    </w:p>
    <w:p w14:paraId="313C36F8" w14:textId="77777777" w:rsidR="00A739F2" w:rsidRDefault="00597D48">
      <w:r>
        <w:rPr>
          <w:rFonts w:cs="方正仿宋_GB2312" w:hint="eastAsia"/>
        </w:rPr>
        <w:t>100m</w:t>
      </w:r>
      <w:r>
        <w:rPr>
          <w:rFonts w:cs="方正仿宋_GB2312" w:hint="eastAsia"/>
        </w:rPr>
        <w:t>高度风速为</w:t>
      </w:r>
      <w:r>
        <w:rPr>
          <w:rFonts w:cs="方正仿宋_GB2312" w:hint="eastAsia"/>
        </w:rPr>
        <w:t>6.01m/s</w:t>
      </w:r>
      <w:r>
        <w:rPr>
          <w:rFonts w:cs="方正仿宋_GB2312" w:hint="eastAsia"/>
        </w:rPr>
        <w:t>，风功率密度为</w:t>
      </w:r>
      <w:r>
        <w:rPr>
          <w:rFonts w:cs="方正仿宋_GB2312" w:hint="eastAsia"/>
        </w:rPr>
        <w:t>195W/</w:t>
      </w:r>
      <w:r>
        <w:rPr>
          <w:rFonts w:cs="Times New Roman"/>
        </w:rPr>
        <w:t>m²</w:t>
      </w:r>
      <w:r>
        <w:rPr>
          <w:rFonts w:cs="方正仿宋_GB2312" w:hint="eastAsia"/>
        </w:rPr>
        <w:t>，</w:t>
      </w:r>
      <w:r>
        <w:rPr>
          <w:rFonts w:cs="方正仿宋_GB2312" w:hint="eastAsia"/>
        </w:rPr>
        <w:t>2-6</w:t>
      </w:r>
      <w:r>
        <w:rPr>
          <w:rFonts w:cs="方正仿宋_GB2312" w:hint="eastAsia"/>
        </w:rPr>
        <w:t>月份风速及风功率密度较大，其他各月相对较小，主风能为</w:t>
      </w:r>
      <w:r>
        <w:rPr>
          <w:rFonts w:cs="方正仿宋_GB2312" w:hint="eastAsia"/>
        </w:rPr>
        <w:t>NW</w:t>
      </w:r>
      <w:r>
        <w:rPr>
          <w:rFonts w:cs="方正仿宋_GB2312" w:hint="eastAsia"/>
        </w:rPr>
        <w:t>，</w:t>
      </w:r>
      <w:proofErr w:type="gramStart"/>
      <w:r>
        <w:rPr>
          <w:rFonts w:cs="方正仿宋_GB2312" w:hint="eastAsia"/>
        </w:rPr>
        <w:t>次主风能</w:t>
      </w:r>
      <w:proofErr w:type="gramEnd"/>
      <w:r>
        <w:rPr>
          <w:rFonts w:cs="方正仿宋_GB2312" w:hint="eastAsia"/>
        </w:rPr>
        <w:t>为</w:t>
      </w:r>
      <w:r>
        <w:rPr>
          <w:rFonts w:cs="方正仿宋_GB2312" w:hint="eastAsia"/>
        </w:rPr>
        <w:t>WNW</w:t>
      </w:r>
      <w:r>
        <w:rPr>
          <w:rFonts w:cs="方正仿宋_GB2312" w:hint="eastAsia"/>
        </w:rPr>
        <w:t>；主风向为</w:t>
      </w:r>
      <w:r>
        <w:rPr>
          <w:rFonts w:cs="方正仿宋_GB2312" w:hint="eastAsia"/>
        </w:rPr>
        <w:t>NW</w:t>
      </w:r>
      <w:r>
        <w:rPr>
          <w:rFonts w:cs="方正仿宋_GB2312" w:hint="eastAsia"/>
        </w:rPr>
        <w:t>，</w:t>
      </w:r>
      <w:proofErr w:type="gramStart"/>
      <w:r>
        <w:rPr>
          <w:rFonts w:cs="方正仿宋_GB2312" w:hint="eastAsia"/>
        </w:rPr>
        <w:t>次主风向</w:t>
      </w:r>
      <w:proofErr w:type="gramEnd"/>
      <w:r>
        <w:rPr>
          <w:rFonts w:cs="方正仿宋_GB2312" w:hint="eastAsia"/>
        </w:rPr>
        <w:t>为</w:t>
      </w:r>
      <w:r>
        <w:rPr>
          <w:rFonts w:cs="方正仿宋_GB2312" w:hint="eastAsia"/>
        </w:rPr>
        <w:t>WNW</w:t>
      </w:r>
      <w:r>
        <w:rPr>
          <w:rFonts w:cs="方正仿宋_GB2312" w:hint="eastAsia"/>
        </w:rPr>
        <w:t>。该区域风能资源具有一定开发价值。</w:t>
      </w:r>
    </w:p>
    <w:p w14:paraId="6E158E00" w14:textId="77777777" w:rsidR="00A739F2" w:rsidRDefault="00597D48">
      <w:pPr>
        <w:rPr>
          <w:rFonts w:cs="方正仿宋_GB2312"/>
        </w:rPr>
      </w:pPr>
      <w:r>
        <w:rPr>
          <w:rFonts w:cs="Times New Roman" w:hint="eastAsia"/>
        </w:rPr>
        <w:t>2</w:t>
      </w:r>
      <w:r>
        <w:rPr>
          <w:rFonts w:cs="Times New Roman" w:hint="eastAsia"/>
        </w:rPr>
        <w:t>、</w:t>
      </w:r>
      <w:r>
        <w:rPr>
          <w:rFonts w:cs="方正仿宋_GB2312" w:hint="eastAsia"/>
        </w:rPr>
        <w:t>太阳能资源概况</w:t>
      </w:r>
    </w:p>
    <w:p w14:paraId="4BF581E5" w14:textId="77777777" w:rsidR="00A739F2" w:rsidRDefault="00597D48">
      <w:pPr>
        <w:rPr>
          <w:rFonts w:cs="方正仿宋_GB2312"/>
        </w:rPr>
      </w:pPr>
      <w:r>
        <w:rPr>
          <w:rFonts w:cs="方正仿宋_GB2312" w:hint="eastAsia"/>
        </w:rPr>
        <w:lastRenderedPageBreak/>
        <w:t>（</w:t>
      </w:r>
      <w:r>
        <w:rPr>
          <w:rFonts w:cs="方正仿宋_GB2312" w:hint="eastAsia"/>
        </w:rPr>
        <w:t>1</w:t>
      </w:r>
      <w:r>
        <w:rPr>
          <w:rFonts w:cs="方正仿宋_GB2312" w:hint="eastAsia"/>
        </w:rPr>
        <w:t>）鄂尔多斯市太阳能资源概况</w:t>
      </w:r>
    </w:p>
    <w:p w14:paraId="24851D9D" w14:textId="77777777" w:rsidR="00A739F2" w:rsidRDefault="00597D48">
      <w:pPr>
        <w:rPr>
          <w:rFonts w:cs="方正仿宋_GB2312"/>
        </w:rPr>
      </w:pPr>
      <w:r>
        <w:rPr>
          <w:rFonts w:cs="方正仿宋_GB2312" w:hint="eastAsia"/>
        </w:rPr>
        <w:t>鄂尔多斯市是内蒙古自治区仅次于阿拉善盟的太阳能资源丰富地区，年水平总辐射量在</w:t>
      </w:r>
      <w:r>
        <w:rPr>
          <w:rFonts w:cs="方正仿宋_GB2312" w:hint="eastAsia"/>
        </w:rPr>
        <w:t>1388</w:t>
      </w:r>
      <w:r>
        <w:rPr>
          <w:rFonts w:cs="方正仿宋_GB2312" w:hint="eastAsia"/>
        </w:rPr>
        <w:t>～</w:t>
      </w:r>
      <w:r>
        <w:rPr>
          <w:rFonts w:cs="方正仿宋_GB2312" w:hint="eastAsia"/>
        </w:rPr>
        <w:t>1752kWh/m</w:t>
      </w:r>
      <w:r>
        <w:rPr>
          <w:rFonts w:cs="方正仿宋_GB2312" w:hint="eastAsia"/>
          <w:vertAlign w:val="superscript"/>
        </w:rPr>
        <w:t>2</w:t>
      </w:r>
      <w:r>
        <w:rPr>
          <w:rFonts w:cs="方正仿宋_GB2312" w:hint="eastAsia"/>
        </w:rPr>
        <w:t>之间，属于全国太阳能资源二类和三类地区，具备较大开发价值，主要的行政区域包括鄂托克前旗、伊金霍洛旗、康巴什区等。</w:t>
      </w:r>
    </w:p>
    <w:p w14:paraId="21CDC756" w14:textId="77777777" w:rsidR="00A739F2" w:rsidRDefault="00597D48">
      <w:pPr>
        <w:spacing w:line="360" w:lineRule="auto"/>
        <w:ind w:firstLineChars="0" w:firstLine="0"/>
        <w:rPr>
          <w:rFonts w:cs="方正仿宋_GB2312"/>
          <w:color w:val="000000"/>
          <w:sz w:val="24"/>
          <w:szCs w:val="21"/>
        </w:rPr>
      </w:pPr>
      <w:r>
        <w:rPr>
          <w:rFonts w:cs="方正仿宋_GB2312" w:hint="eastAsia"/>
          <w:noProof/>
          <w:color w:val="000000"/>
          <w:sz w:val="24"/>
          <w:szCs w:val="21"/>
        </w:rPr>
        <w:drawing>
          <wp:inline distT="0" distB="0" distL="114300" distR="114300" wp14:anchorId="160C436E" wp14:editId="6F8386F5">
            <wp:extent cx="5273675" cy="3728720"/>
            <wp:effectExtent l="0" t="0" r="9525" b="5080"/>
            <wp:docPr id="20" name="图片 20" descr="02e887f9dba4aa6d86df9c22cd358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2e887f9dba4aa6d86df9c22cd3580e"/>
                    <pic:cNvPicPr>
                      <a:picLocks noChangeAspect="1"/>
                    </pic:cNvPicPr>
                  </pic:nvPicPr>
                  <pic:blipFill>
                    <a:blip r:embed="rId22"/>
                    <a:stretch>
                      <a:fillRect/>
                    </a:stretch>
                  </pic:blipFill>
                  <pic:spPr>
                    <a:xfrm>
                      <a:off x="0" y="0"/>
                      <a:ext cx="5273675" cy="3728720"/>
                    </a:xfrm>
                    <a:prstGeom prst="rect">
                      <a:avLst/>
                    </a:prstGeom>
                  </pic:spPr>
                </pic:pic>
              </a:graphicData>
            </a:graphic>
          </wp:inline>
        </w:drawing>
      </w:r>
    </w:p>
    <w:p w14:paraId="6E64E3AA" w14:textId="77777777" w:rsidR="00A739F2" w:rsidRDefault="00597D48">
      <w:pPr>
        <w:ind w:firstLine="482"/>
        <w:jc w:val="center"/>
        <w:rPr>
          <w:rFonts w:cs="方正仿宋_GB2312"/>
        </w:rPr>
      </w:pPr>
      <w:r>
        <w:rPr>
          <w:rFonts w:cs="Times New Roman" w:hint="eastAsia"/>
          <w:b/>
          <w:sz w:val="24"/>
        </w:rPr>
        <w:t>图</w:t>
      </w:r>
      <w:r>
        <w:rPr>
          <w:rFonts w:cs="Times New Roman" w:hint="eastAsia"/>
          <w:b/>
          <w:sz w:val="24"/>
        </w:rPr>
        <w:t xml:space="preserve">3.3-6 </w:t>
      </w:r>
      <w:r>
        <w:rPr>
          <w:rFonts w:cs="Times New Roman" w:hint="eastAsia"/>
          <w:b/>
          <w:sz w:val="24"/>
        </w:rPr>
        <w:t>鄂尔多斯市年水平总辐射量分布图</w:t>
      </w:r>
    </w:p>
    <w:p w14:paraId="2F7EDE28" w14:textId="77777777" w:rsidR="00A739F2" w:rsidRDefault="00597D48">
      <w:pPr>
        <w:rPr>
          <w:rFonts w:cs="方正仿宋_GB2312"/>
        </w:rPr>
      </w:pPr>
      <w:r>
        <w:rPr>
          <w:rFonts w:cs="方正仿宋_GB2312" w:hint="eastAsia"/>
        </w:rPr>
        <w:t>2</w:t>
      </w:r>
      <w:r>
        <w:rPr>
          <w:rFonts w:cs="方正仿宋_GB2312" w:hint="eastAsia"/>
        </w:rPr>
        <w:t>、康巴什区太阳能资源概况</w:t>
      </w:r>
    </w:p>
    <w:p w14:paraId="311D5F80" w14:textId="77777777" w:rsidR="00A739F2" w:rsidRDefault="00597D48">
      <w:pPr>
        <w:rPr>
          <w:rFonts w:cs="Times New Roman"/>
        </w:rPr>
      </w:pPr>
      <w:r>
        <w:rPr>
          <w:rFonts w:cs="方正仿宋_GB2312" w:hint="eastAsia"/>
        </w:rPr>
        <w:t>康巴</w:t>
      </w:r>
      <w:proofErr w:type="gramStart"/>
      <w:r>
        <w:rPr>
          <w:rFonts w:cs="方正仿宋_GB2312" w:hint="eastAsia"/>
        </w:rPr>
        <w:t>什区域</w:t>
      </w:r>
      <w:proofErr w:type="gramEnd"/>
      <w:r>
        <w:rPr>
          <w:rFonts w:cs="方正仿宋_GB2312" w:hint="eastAsia"/>
        </w:rPr>
        <w:t>内</w:t>
      </w:r>
      <w:r>
        <w:rPr>
          <w:rFonts w:cs="方正仿宋_GB2312" w:hint="eastAsia"/>
        </w:rPr>
        <w:t>太阳能资源丰富，水平总辐射</w:t>
      </w:r>
      <w:proofErr w:type="gramStart"/>
      <w:r>
        <w:rPr>
          <w:rFonts w:cs="方正仿宋_GB2312" w:hint="eastAsia"/>
        </w:rPr>
        <w:t>量整体</w:t>
      </w:r>
      <w:proofErr w:type="gramEnd"/>
      <w:r>
        <w:rPr>
          <w:rFonts w:cs="方正仿宋_GB2312" w:hint="eastAsia"/>
        </w:rPr>
        <w:t>呈现东低西高的趋势，但东西差距较小，年水平总辐射量在</w:t>
      </w:r>
      <w:r>
        <w:rPr>
          <w:rFonts w:cs="方正仿宋_GB2312" w:hint="eastAsia"/>
        </w:rPr>
        <w:t>1610</w:t>
      </w:r>
      <w:r>
        <w:rPr>
          <w:rFonts w:cs="方正仿宋_GB2312" w:hint="eastAsia"/>
        </w:rPr>
        <w:t>～</w:t>
      </w:r>
      <w:r>
        <w:rPr>
          <w:rFonts w:cs="方正仿宋_GB2312" w:hint="eastAsia"/>
        </w:rPr>
        <w:t>1683kWh/m</w:t>
      </w:r>
      <w:r>
        <w:rPr>
          <w:rFonts w:cs="方正仿宋_GB2312" w:hint="eastAsia"/>
          <w:vertAlign w:val="superscript"/>
        </w:rPr>
        <w:t>2</w:t>
      </w:r>
      <w:r>
        <w:rPr>
          <w:rFonts w:cs="方正仿宋_GB2312" w:hint="eastAsia"/>
        </w:rPr>
        <w:t>之间，属于很丰富区（</w:t>
      </w:r>
      <w:r>
        <w:rPr>
          <w:rFonts w:cs="方正仿宋_GB2312" w:hint="eastAsia"/>
        </w:rPr>
        <w:t>B</w:t>
      </w:r>
      <w:r>
        <w:rPr>
          <w:rFonts w:cs="方正仿宋_GB2312" w:hint="eastAsia"/>
        </w:rPr>
        <w:t>类区域），具备较大开发价值</w:t>
      </w:r>
      <w:r>
        <w:rPr>
          <w:rFonts w:cs="Times New Roman" w:hint="eastAsia"/>
        </w:rPr>
        <w:t>。</w:t>
      </w:r>
    </w:p>
    <w:p w14:paraId="4EE58977" w14:textId="77777777" w:rsidR="00A739F2" w:rsidRDefault="00597D48">
      <w:pPr>
        <w:pStyle w:val="2"/>
        <w:snapToGrid w:val="0"/>
        <w:spacing w:line="240" w:lineRule="auto"/>
        <w:ind w:leftChars="0" w:left="0" w:firstLineChars="0" w:firstLine="0"/>
        <w:jc w:val="center"/>
      </w:pPr>
      <w:r>
        <w:rPr>
          <w:rFonts w:cstheme="minorBidi"/>
          <w:noProof/>
          <w:sz w:val="28"/>
        </w:rPr>
        <w:lastRenderedPageBreak/>
        <w:drawing>
          <wp:inline distT="0" distB="0" distL="114300" distR="114300" wp14:anchorId="23DD6775" wp14:editId="7FD6B01E">
            <wp:extent cx="5273675" cy="3190875"/>
            <wp:effectExtent l="0" t="0" r="14605" b="9525"/>
            <wp:docPr id="10" name="图片 10" descr="53c90827d3cfeec9b44864ced8c1f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3c90827d3cfeec9b44864ced8c1f05"/>
                    <pic:cNvPicPr>
                      <a:picLocks noChangeAspect="1"/>
                    </pic:cNvPicPr>
                  </pic:nvPicPr>
                  <pic:blipFill>
                    <a:blip r:embed="rId23"/>
                    <a:srcRect t="14424"/>
                    <a:stretch>
                      <a:fillRect/>
                    </a:stretch>
                  </pic:blipFill>
                  <pic:spPr>
                    <a:xfrm>
                      <a:off x="0" y="0"/>
                      <a:ext cx="5273675" cy="3190875"/>
                    </a:xfrm>
                    <a:prstGeom prst="rect">
                      <a:avLst/>
                    </a:prstGeom>
                  </pic:spPr>
                </pic:pic>
              </a:graphicData>
            </a:graphic>
          </wp:inline>
        </w:drawing>
      </w:r>
    </w:p>
    <w:p w14:paraId="56D77D82" w14:textId="77777777" w:rsidR="00A739F2" w:rsidRDefault="00597D48">
      <w:pPr>
        <w:spacing w:line="360" w:lineRule="auto"/>
        <w:ind w:firstLineChars="0" w:firstLine="0"/>
        <w:jc w:val="center"/>
        <w:rPr>
          <w:rFonts w:cs="Times New Roman"/>
          <w:b/>
          <w:sz w:val="24"/>
        </w:rPr>
      </w:pPr>
      <w:r>
        <w:rPr>
          <w:rFonts w:cs="Times New Roman" w:hint="eastAsia"/>
          <w:b/>
          <w:sz w:val="24"/>
        </w:rPr>
        <w:t>图</w:t>
      </w:r>
      <w:r>
        <w:rPr>
          <w:rFonts w:cs="Times New Roman" w:hint="eastAsia"/>
          <w:b/>
          <w:sz w:val="24"/>
        </w:rPr>
        <w:t xml:space="preserve">3.3-7 </w:t>
      </w:r>
      <w:r>
        <w:rPr>
          <w:rFonts w:cs="Times New Roman" w:hint="eastAsia"/>
          <w:b/>
          <w:sz w:val="24"/>
        </w:rPr>
        <w:t>康巴什区年水平总辐射量分布图</w:t>
      </w:r>
    </w:p>
    <w:p w14:paraId="23F6D7EB" w14:textId="77777777" w:rsidR="00A739F2" w:rsidRDefault="00597D48">
      <w:pPr>
        <w:numPr>
          <w:ilvl w:val="0"/>
          <w:numId w:val="1"/>
        </w:numPr>
        <w:rPr>
          <w:rFonts w:cs="方正仿宋_GB2312"/>
        </w:rPr>
      </w:pPr>
      <w:r>
        <w:rPr>
          <w:rFonts w:cs="方正仿宋_GB2312" w:hint="eastAsia"/>
        </w:rPr>
        <w:t>太阳能资源年变化特征及稳定度等级</w:t>
      </w:r>
    </w:p>
    <w:p w14:paraId="4FC6173B" w14:textId="77777777" w:rsidR="00A739F2" w:rsidRDefault="00597D48">
      <w:pPr>
        <w:rPr>
          <w:rFonts w:cs="方正仿宋_GB2312"/>
        </w:rPr>
      </w:pPr>
      <w:r>
        <w:rPr>
          <w:rFonts w:cs="方正仿宋_GB2312" w:hint="eastAsia"/>
        </w:rPr>
        <w:t>（</w:t>
      </w:r>
      <w:r>
        <w:rPr>
          <w:rFonts w:cs="方正仿宋_GB2312" w:hint="eastAsia"/>
        </w:rPr>
        <w:t>1</w:t>
      </w:r>
      <w:r>
        <w:rPr>
          <w:rFonts w:cs="方正仿宋_GB2312" w:hint="eastAsia"/>
        </w:rPr>
        <w:t>）年内分布</w:t>
      </w:r>
    </w:p>
    <w:p w14:paraId="7D76097F" w14:textId="77777777" w:rsidR="00A739F2" w:rsidRDefault="00597D48">
      <w:pPr>
        <w:rPr>
          <w:rFonts w:cs="方正仿宋_GB2312"/>
          <w:lang w:val="en-AU"/>
        </w:rPr>
      </w:pPr>
      <w:r>
        <w:rPr>
          <w:rFonts w:cs="方正仿宋_GB2312" w:hint="eastAsia"/>
          <w:lang w:val="en-AU"/>
        </w:rPr>
        <w:t>根据</w:t>
      </w:r>
      <w:proofErr w:type="spellStart"/>
      <w:r>
        <w:rPr>
          <w:rFonts w:cs="方正仿宋_GB2312" w:hint="eastAsia"/>
          <w:lang w:val="en-AU"/>
        </w:rPr>
        <w:t>Solargis</w:t>
      </w:r>
      <w:proofErr w:type="spellEnd"/>
      <w:r>
        <w:rPr>
          <w:rFonts w:cs="方正仿宋_GB2312" w:hint="eastAsia"/>
          <w:lang w:val="en-AU"/>
        </w:rPr>
        <w:t>数据库，</w:t>
      </w:r>
      <w:r>
        <w:rPr>
          <w:rFonts w:cs="方正仿宋_GB2312" w:hint="eastAsia"/>
        </w:rPr>
        <w:t>康巴什区</w:t>
      </w:r>
      <w:r>
        <w:rPr>
          <w:rFonts w:cs="方正仿宋_GB2312" w:hint="eastAsia"/>
          <w:lang w:val="en-AU"/>
        </w:rPr>
        <w:t>多年平均年水平面总辐射量为</w:t>
      </w:r>
      <w:r>
        <w:rPr>
          <w:rFonts w:cs="方正仿宋_GB2312" w:hint="eastAsia"/>
          <w:lang w:val="en-AU"/>
        </w:rPr>
        <w:t>5691MJ/m</w:t>
      </w:r>
      <w:r>
        <w:rPr>
          <w:rFonts w:cs="方正仿宋_GB2312" w:hint="eastAsia"/>
          <w:vertAlign w:val="superscript"/>
          <w:lang w:val="en-AU"/>
        </w:rPr>
        <w:t>2</w:t>
      </w:r>
      <w:r>
        <w:rPr>
          <w:rFonts w:cs="方正仿宋_GB2312" w:hint="eastAsia"/>
          <w:lang w:val="en-AU"/>
        </w:rPr>
        <w:t>，根据《太阳能资源评估方法》，场址区域年水平面总辐射量为</w:t>
      </w:r>
      <w:r>
        <w:rPr>
          <w:rFonts w:cs="方正仿宋_GB2312" w:hint="eastAsia"/>
          <w:lang w:val="en-AU"/>
        </w:rPr>
        <w:t>B</w:t>
      </w:r>
      <w:r>
        <w:rPr>
          <w:rFonts w:cs="方正仿宋_GB2312" w:hint="eastAsia"/>
          <w:lang w:val="en-AU"/>
        </w:rPr>
        <w:t>级（很丰富）。</w:t>
      </w:r>
    </w:p>
    <w:p w14:paraId="34574FE3" w14:textId="77777777" w:rsidR="00A739F2" w:rsidRDefault="00597D48">
      <w:pPr>
        <w:rPr>
          <w:rFonts w:cs="方正仿宋_GB2312"/>
          <w:lang w:val="en-AU"/>
        </w:rPr>
      </w:pPr>
      <w:r>
        <w:rPr>
          <w:rFonts w:cs="方正仿宋_GB2312" w:hint="eastAsia"/>
          <w:lang w:val="en-AU"/>
        </w:rPr>
        <w:t>根据各月辐射量分析，本项目辐射量</w:t>
      </w:r>
      <w:r>
        <w:rPr>
          <w:rFonts w:cs="方正仿宋_GB2312" w:hint="eastAsia"/>
          <w:lang w:val="en-AU"/>
        </w:rPr>
        <w:t>3</w:t>
      </w:r>
      <w:r>
        <w:rPr>
          <w:rFonts w:cs="方正仿宋_GB2312" w:hint="eastAsia"/>
          <w:lang w:val="en-AU"/>
        </w:rPr>
        <w:t>月～</w:t>
      </w:r>
      <w:r>
        <w:rPr>
          <w:rFonts w:cs="方正仿宋_GB2312" w:hint="eastAsia"/>
          <w:lang w:val="en-AU"/>
        </w:rPr>
        <w:t>9</w:t>
      </w:r>
      <w:r>
        <w:rPr>
          <w:rFonts w:cs="方正仿宋_GB2312" w:hint="eastAsia"/>
          <w:lang w:val="en-AU"/>
        </w:rPr>
        <w:t>月份较强，</w:t>
      </w:r>
      <w:r>
        <w:rPr>
          <w:rFonts w:cs="方正仿宋_GB2312" w:hint="eastAsia"/>
          <w:lang w:val="en-AU"/>
        </w:rPr>
        <w:t>10</w:t>
      </w:r>
      <w:r>
        <w:rPr>
          <w:rFonts w:cs="方正仿宋_GB2312" w:hint="eastAsia"/>
          <w:lang w:val="en-AU"/>
        </w:rPr>
        <w:t>月～翌年</w:t>
      </w:r>
      <w:r>
        <w:rPr>
          <w:rFonts w:cs="方正仿宋_GB2312" w:hint="eastAsia"/>
          <w:lang w:val="en-AU"/>
        </w:rPr>
        <w:t>2</w:t>
      </w:r>
      <w:r>
        <w:rPr>
          <w:rFonts w:cs="方正仿宋_GB2312" w:hint="eastAsia"/>
          <w:lang w:val="en-AU"/>
        </w:rPr>
        <w:t>月较弱。</w:t>
      </w:r>
      <w:proofErr w:type="gramStart"/>
      <w:r>
        <w:rPr>
          <w:rFonts w:cs="方正仿宋_GB2312" w:hint="eastAsia"/>
          <w:lang w:val="en-AU"/>
        </w:rPr>
        <w:t>即春夏季</w:t>
      </w:r>
      <w:proofErr w:type="gramEnd"/>
      <w:r>
        <w:rPr>
          <w:rFonts w:cs="方正仿宋_GB2312" w:hint="eastAsia"/>
          <w:lang w:val="en-AU"/>
        </w:rPr>
        <w:t>辐射强，秋冬季辐射弱。</w:t>
      </w:r>
    </w:p>
    <w:p w14:paraId="14A08FF5" w14:textId="77777777" w:rsidR="00A739F2" w:rsidRDefault="00597D48">
      <w:pPr>
        <w:spacing w:line="360" w:lineRule="auto"/>
        <w:ind w:firstLineChars="0" w:firstLine="0"/>
        <w:jc w:val="center"/>
        <w:rPr>
          <w:rFonts w:cs="Times New Roman"/>
          <w:b/>
          <w:kern w:val="0"/>
          <w:sz w:val="24"/>
          <w:szCs w:val="24"/>
          <w:lang w:val="en-AU"/>
        </w:rPr>
      </w:pPr>
      <w:r>
        <w:rPr>
          <w:rFonts w:cs="Times New Roman"/>
          <w:b/>
          <w:kern w:val="0"/>
          <w:sz w:val="24"/>
          <w:szCs w:val="24"/>
          <w:lang w:val="en-AU"/>
        </w:rPr>
        <w:t xml:space="preserve">                 </w:t>
      </w:r>
      <w:r>
        <w:rPr>
          <w:rFonts w:cs="Times New Roman"/>
          <w:b/>
          <w:kern w:val="0"/>
          <w:sz w:val="24"/>
          <w:szCs w:val="24"/>
          <w:lang w:val="en-AU"/>
        </w:rPr>
        <w:t>表</w:t>
      </w:r>
      <w:r>
        <w:rPr>
          <w:rFonts w:cs="Times New Roman" w:hint="eastAsia"/>
          <w:b/>
          <w:kern w:val="0"/>
          <w:sz w:val="24"/>
          <w:szCs w:val="24"/>
        </w:rPr>
        <w:t>3</w:t>
      </w:r>
      <w:r>
        <w:rPr>
          <w:rFonts w:cs="Times New Roman"/>
          <w:b/>
          <w:kern w:val="0"/>
          <w:sz w:val="24"/>
          <w:szCs w:val="24"/>
          <w:lang w:val="en-AU"/>
        </w:rPr>
        <w:t>.</w:t>
      </w:r>
      <w:r>
        <w:rPr>
          <w:rFonts w:cs="Times New Roman" w:hint="eastAsia"/>
          <w:b/>
          <w:kern w:val="0"/>
          <w:sz w:val="24"/>
          <w:szCs w:val="24"/>
        </w:rPr>
        <w:t>3</w:t>
      </w:r>
      <w:r>
        <w:rPr>
          <w:rFonts w:cs="Times New Roman"/>
          <w:b/>
          <w:kern w:val="0"/>
          <w:sz w:val="24"/>
          <w:szCs w:val="24"/>
          <w:lang w:val="en-AU"/>
        </w:rPr>
        <w:t>-</w:t>
      </w:r>
      <w:r>
        <w:rPr>
          <w:rFonts w:cs="Times New Roman" w:hint="eastAsia"/>
          <w:b/>
          <w:kern w:val="0"/>
          <w:sz w:val="24"/>
          <w:szCs w:val="24"/>
        </w:rPr>
        <w:t>4</w:t>
      </w:r>
      <w:r>
        <w:rPr>
          <w:rFonts w:cs="Times New Roman"/>
          <w:b/>
          <w:kern w:val="0"/>
          <w:sz w:val="24"/>
          <w:szCs w:val="24"/>
          <w:lang w:val="en-AU"/>
        </w:rPr>
        <w:t xml:space="preserve">  </w:t>
      </w:r>
      <w:proofErr w:type="spellStart"/>
      <w:r>
        <w:rPr>
          <w:rFonts w:cs="Times New Roman"/>
          <w:b/>
          <w:kern w:val="0"/>
          <w:sz w:val="24"/>
          <w:szCs w:val="24"/>
          <w:lang w:val="en-AU"/>
        </w:rPr>
        <w:t>Solargis</w:t>
      </w:r>
      <w:proofErr w:type="spellEnd"/>
      <w:r>
        <w:rPr>
          <w:rFonts w:cs="Times New Roman"/>
          <w:b/>
          <w:kern w:val="0"/>
          <w:sz w:val="24"/>
          <w:szCs w:val="24"/>
          <w:lang w:val="en-AU"/>
        </w:rPr>
        <w:t>多年平均辐射量</w:t>
      </w:r>
      <w:r>
        <w:rPr>
          <w:rFonts w:cs="Times New Roman"/>
          <w:b/>
          <w:kern w:val="0"/>
          <w:sz w:val="24"/>
          <w:szCs w:val="24"/>
          <w:lang w:val="en-AU"/>
        </w:rPr>
        <w:t xml:space="preserve">           </w:t>
      </w:r>
      <w:r>
        <w:rPr>
          <w:rFonts w:cs="Times New Roman"/>
          <w:b/>
          <w:kern w:val="0"/>
          <w:sz w:val="24"/>
          <w:szCs w:val="24"/>
          <w:lang w:val="en-AU"/>
        </w:rPr>
        <w:t>单位：</w:t>
      </w:r>
      <w:r>
        <w:rPr>
          <w:rFonts w:cs="Times New Roman"/>
          <w:b/>
          <w:kern w:val="0"/>
          <w:sz w:val="24"/>
          <w:szCs w:val="24"/>
          <w:lang w:val="en-AU"/>
        </w:rPr>
        <w:t>MJ/m</w:t>
      </w:r>
      <w:r>
        <w:rPr>
          <w:rFonts w:cs="Times New Roman"/>
          <w:b/>
          <w:kern w:val="0"/>
          <w:sz w:val="24"/>
          <w:szCs w:val="24"/>
          <w:vertAlign w:val="superscript"/>
          <w:lang w:val="en-AU"/>
        </w:rPr>
        <w:t>2</w:t>
      </w:r>
      <w:r>
        <w:rPr>
          <w:rFonts w:cs="Times New Roman"/>
          <w:b/>
          <w:kern w:val="0"/>
          <w:sz w:val="24"/>
          <w:szCs w:val="24"/>
          <w:lang w:val="en-AU"/>
        </w:rPr>
        <w:t xml:space="preserve">                                                                                                            </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592"/>
        <w:gridCol w:w="641"/>
        <w:gridCol w:w="642"/>
        <w:gridCol w:w="642"/>
        <w:gridCol w:w="642"/>
        <w:gridCol w:w="642"/>
        <w:gridCol w:w="642"/>
        <w:gridCol w:w="642"/>
        <w:gridCol w:w="642"/>
        <w:gridCol w:w="642"/>
        <w:gridCol w:w="670"/>
        <w:gridCol w:w="672"/>
        <w:gridCol w:w="654"/>
        <w:gridCol w:w="696"/>
      </w:tblGrid>
      <w:tr w:rsidR="00A739F2" w14:paraId="5D2D535B" w14:textId="77777777">
        <w:tc>
          <w:tcPr>
            <w:tcW w:w="327" w:type="pct"/>
            <w:tcBorders>
              <w:tl2br w:val="nil"/>
              <w:tr2bl w:val="nil"/>
            </w:tcBorders>
            <w:vAlign w:val="center"/>
          </w:tcPr>
          <w:p w14:paraId="6EBF7155"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月份</w:t>
            </w:r>
          </w:p>
        </w:tc>
        <w:tc>
          <w:tcPr>
            <w:tcW w:w="354" w:type="pct"/>
            <w:tcBorders>
              <w:tl2br w:val="nil"/>
              <w:tr2bl w:val="nil"/>
            </w:tcBorders>
            <w:vAlign w:val="center"/>
          </w:tcPr>
          <w:p w14:paraId="416BC716"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w:t>
            </w:r>
          </w:p>
        </w:tc>
        <w:tc>
          <w:tcPr>
            <w:tcW w:w="355" w:type="pct"/>
            <w:tcBorders>
              <w:tl2br w:val="nil"/>
              <w:tr2bl w:val="nil"/>
            </w:tcBorders>
            <w:vAlign w:val="center"/>
          </w:tcPr>
          <w:p w14:paraId="5EC15E8C"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w:t>
            </w:r>
          </w:p>
        </w:tc>
        <w:tc>
          <w:tcPr>
            <w:tcW w:w="355" w:type="pct"/>
            <w:tcBorders>
              <w:tl2br w:val="nil"/>
              <w:tr2bl w:val="nil"/>
            </w:tcBorders>
            <w:vAlign w:val="center"/>
          </w:tcPr>
          <w:p w14:paraId="3B550C9B"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3</w:t>
            </w:r>
          </w:p>
        </w:tc>
        <w:tc>
          <w:tcPr>
            <w:tcW w:w="355" w:type="pct"/>
            <w:tcBorders>
              <w:tl2br w:val="nil"/>
              <w:tr2bl w:val="nil"/>
            </w:tcBorders>
            <w:vAlign w:val="center"/>
          </w:tcPr>
          <w:p w14:paraId="48D177CA"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4</w:t>
            </w:r>
          </w:p>
        </w:tc>
        <w:tc>
          <w:tcPr>
            <w:tcW w:w="355" w:type="pct"/>
            <w:tcBorders>
              <w:tl2br w:val="nil"/>
              <w:tr2bl w:val="nil"/>
            </w:tcBorders>
            <w:vAlign w:val="center"/>
          </w:tcPr>
          <w:p w14:paraId="26ED664A"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w:t>
            </w:r>
          </w:p>
        </w:tc>
        <w:tc>
          <w:tcPr>
            <w:tcW w:w="355" w:type="pct"/>
            <w:tcBorders>
              <w:tl2br w:val="nil"/>
              <w:tr2bl w:val="nil"/>
            </w:tcBorders>
            <w:vAlign w:val="center"/>
          </w:tcPr>
          <w:p w14:paraId="7C79D98E"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w:t>
            </w:r>
          </w:p>
        </w:tc>
        <w:tc>
          <w:tcPr>
            <w:tcW w:w="355" w:type="pct"/>
            <w:tcBorders>
              <w:tl2br w:val="nil"/>
              <w:tr2bl w:val="nil"/>
            </w:tcBorders>
            <w:vAlign w:val="center"/>
          </w:tcPr>
          <w:p w14:paraId="699C1106"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7</w:t>
            </w:r>
          </w:p>
        </w:tc>
        <w:tc>
          <w:tcPr>
            <w:tcW w:w="355" w:type="pct"/>
            <w:tcBorders>
              <w:tl2br w:val="nil"/>
              <w:tr2bl w:val="nil"/>
            </w:tcBorders>
            <w:vAlign w:val="center"/>
          </w:tcPr>
          <w:p w14:paraId="2345F783"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8</w:t>
            </w:r>
          </w:p>
        </w:tc>
        <w:tc>
          <w:tcPr>
            <w:tcW w:w="355" w:type="pct"/>
            <w:tcBorders>
              <w:tl2br w:val="nil"/>
              <w:tr2bl w:val="nil"/>
            </w:tcBorders>
            <w:vAlign w:val="center"/>
          </w:tcPr>
          <w:p w14:paraId="4E351862"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9</w:t>
            </w:r>
          </w:p>
        </w:tc>
        <w:tc>
          <w:tcPr>
            <w:tcW w:w="369" w:type="pct"/>
            <w:tcBorders>
              <w:tl2br w:val="nil"/>
              <w:tr2bl w:val="nil"/>
            </w:tcBorders>
            <w:vAlign w:val="center"/>
          </w:tcPr>
          <w:p w14:paraId="65F53F7E"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10</w:t>
            </w:r>
          </w:p>
        </w:tc>
        <w:tc>
          <w:tcPr>
            <w:tcW w:w="370" w:type="pct"/>
            <w:tcBorders>
              <w:tl2br w:val="nil"/>
              <w:tr2bl w:val="nil"/>
            </w:tcBorders>
            <w:vAlign w:val="center"/>
          </w:tcPr>
          <w:p w14:paraId="0C91A117"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11</w:t>
            </w:r>
          </w:p>
        </w:tc>
        <w:tc>
          <w:tcPr>
            <w:tcW w:w="360" w:type="pct"/>
            <w:tcBorders>
              <w:tl2br w:val="nil"/>
              <w:tr2bl w:val="nil"/>
            </w:tcBorders>
            <w:vAlign w:val="center"/>
          </w:tcPr>
          <w:p w14:paraId="49DD9A7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12</w:t>
            </w:r>
          </w:p>
        </w:tc>
        <w:tc>
          <w:tcPr>
            <w:tcW w:w="373" w:type="pct"/>
            <w:tcBorders>
              <w:tl2br w:val="nil"/>
              <w:tr2bl w:val="nil"/>
            </w:tcBorders>
            <w:vAlign w:val="center"/>
          </w:tcPr>
          <w:p w14:paraId="557AA589"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合计</w:t>
            </w:r>
          </w:p>
        </w:tc>
      </w:tr>
      <w:tr w:rsidR="00A739F2" w14:paraId="0D4842C7" w14:textId="77777777">
        <w:tc>
          <w:tcPr>
            <w:tcW w:w="327" w:type="pct"/>
            <w:tcBorders>
              <w:tl2br w:val="nil"/>
              <w:tr2bl w:val="nil"/>
            </w:tcBorders>
            <w:vAlign w:val="center"/>
          </w:tcPr>
          <w:p w14:paraId="2EE3BB0D"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辐</w:t>
            </w:r>
            <w:r>
              <w:rPr>
                <w:rFonts w:cs="Times New Roman" w:hint="eastAsia"/>
                <w:kern w:val="0"/>
                <w:sz w:val="24"/>
                <w:szCs w:val="24"/>
              </w:rPr>
              <w:lastRenderedPageBreak/>
              <w:t>射量</w:t>
            </w:r>
          </w:p>
        </w:tc>
        <w:tc>
          <w:tcPr>
            <w:tcW w:w="354" w:type="pct"/>
            <w:tcBorders>
              <w:tl2br w:val="nil"/>
              <w:tr2bl w:val="nil"/>
            </w:tcBorders>
            <w:vAlign w:val="center"/>
          </w:tcPr>
          <w:p w14:paraId="718BB843" w14:textId="77777777" w:rsidR="00A739F2" w:rsidRDefault="00597D48">
            <w:pPr>
              <w:ind w:firstLineChars="0" w:firstLine="0"/>
              <w:jc w:val="center"/>
              <w:rPr>
                <w:rFonts w:cs="Times New Roman"/>
                <w:kern w:val="0"/>
                <w:sz w:val="24"/>
                <w:szCs w:val="24"/>
              </w:rPr>
            </w:pPr>
            <w:r>
              <w:rPr>
                <w:rFonts w:cs="Times New Roman" w:hint="eastAsia"/>
                <w:kern w:val="0"/>
                <w:sz w:val="24"/>
                <w:szCs w:val="24"/>
              </w:rPr>
              <w:lastRenderedPageBreak/>
              <w:t>280</w:t>
            </w:r>
          </w:p>
        </w:tc>
        <w:tc>
          <w:tcPr>
            <w:tcW w:w="355" w:type="pct"/>
            <w:tcBorders>
              <w:tl2br w:val="nil"/>
              <w:tr2bl w:val="nil"/>
            </w:tcBorders>
            <w:vAlign w:val="center"/>
          </w:tcPr>
          <w:p w14:paraId="1828DAAD"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353</w:t>
            </w:r>
          </w:p>
        </w:tc>
        <w:tc>
          <w:tcPr>
            <w:tcW w:w="355" w:type="pct"/>
            <w:tcBorders>
              <w:tl2br w:val="nil"/>
              <w:tr2bl w:val="nil"/>
            </w:tcBorders>
            <w:vAlign w:val="center"/>
          </w:tcPr>
          <w:p w14:paraId="7259EDE5"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523</w:t>
            </w:r>
          </w:p>
        </w:tc>
        <w:tc>
          <w:tcPr>
            <w:tcW w:w="355" w:type="pct"/>
            <w:tcBorders>
              <w:tl2br w:val="nil"/>
              <w:tr2bl w:val="nil"/>
            </w:tcBorders>
            <w:vAlign w:val="center"/>
          </w:tcPr>
          <w:p w14:paraId="7F085C3B"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596</w:t>
            </w:r>
          </w:p>
        </w:tc>
        <w:tc>
          <w:tcPr>
            <w:tcW w:w="355" w:type="pct"/>
            <w:tcBorders>
              <w:tl2br w:val="nil"/>
              <w:tr2bl w:val="nil"/>
            </w:tcBorders>
            <w:vAlign w:val="center"/>
          </w:tcPr>
          <w:p w14:paraId="7EC72EF4"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666</w:t>
            </w:r>
          </w:p>
        </w:tc>
        <w:tc>
          <w:tcPr>
            <w:tcW w:w="355" w:type="pct"/>
            <w:tcBorders>
              <w:tl2br w:val="nil"/>
              <w:tr2bl w:val="nil"/>
            </w:tcBorders>
            <w:vAlign w:val="center"/>
          </w:tcPr>
          <w:p w14:paraId="3A6139A8"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641</w:t>
            </w:r>
          </w:p>
        </w:tc>
        <w:tc>
          <w:tcPr>
            <w:tcW w:w="355" w:type="pct"/>
            <w:tcBorders>
              <w:tl2br w:val="nil"/>
              <w:tr2bl w:val="nil"/>
            </w:tcBorders>
            <w:vAlign w:val="center"/>
          </w:tcPr>
          <w:p w14:paraId="3EEDB4FA"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631</w:t>
            </w:r>
          </w:p>
        </w:tc>
        <w:tc>
          <w:tcPr>
            <w:tcW w:w="355" w:type="pct"/>
            <w:tcBorders>
              <w:tl2br w:val="nil"/>
              <w:tr2bl w:val="nil"/>
            </w:tcBorders>
            <w:vAlign w:val="center"/>
          </w:tcPr>
          <w:p w14:paraId="4044B795"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599</w:t>
            </w:r>
          </w:p>
        </w:tc>
        <w:tc>
          <w:tcPr>
            <w:tcW w:w="355" w:type="pct"/>
            <w:tcBorders>
              <w:tl2br w:val="nil"/>
              <w:tr2bl w:val="nil"/>
            </w:tcBorders>
            <w:vAlign w:val="center"/>
          </w:tcPr>
          <w:p w14:paraId="2743A406"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501</w:t>
            </w:r>
          </w:p>
        </w:tc>
        <w:tc>
          <w:tcPr>
            <w:tcW w:w="369" w:type="pct"/>
            <w:tcBorders>
              <w:tl2br w:val="nil"/>
              <w:tr2bl w:val="nil"/>
            </w:tcBorders>
            <w:vAlign w:val="center"/>
          </w:tcPr>
          <w:p w14:paraId="68F84C4D"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398</w:t>
            </w:r>
          </w:p>
        </w:tc>
        <w:tc>
          <w:tcPr>
            <w:tcW w:w="370" w:type="pct"/>
            <w:tcBorders>
              <w:tl2br w:val="nil"/>
              <w:tr2bl w:val="nil"/>
            </w:tcBorders>
            <w:vAlign w:val="center"/>
          </w:tcPr>
          <w:p w14:paraId="189402D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264</w:t>
            </w:r>
          </w:p>
        </w:tc>
        <w:tc>
          <w:tcPr>
            <w:tcW w:w="360" w:type="pct"/>
            <w:tcBorders>
              <w:tl2br w:val="nil"/>
              <w:tr2bl w:val="nil"/>
            </w:tcBorders>
            <w:vAlign w:val="center"/>
          </w:tcPr>
          <w:p w14:paraId="013C9B11"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238</w:t>
            </w:r>
          </w:p>
        </w:tc>
        <w:tc>
          <w:tcPr>
            <w:tcW w:w="373" w:type="pct"/>
            <w:tcBorders>
              <w:tl2br w:val="nil"/>
              <w:tr2bl w:val="nil"/>
            </w:tcBorders>
            <w:vAlign w:val="center"/>
          </w:tcPr>
          <w:p w14:paraId="0D1582D1"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5691</w:t>
            </w:r>
          </w:p>
        </w:tc>
      </w:tr>
    </w:tbl>
    <w:p w14:paraId="283689C6" w14:textId="77777777" w:rsidR="00A739F2" w:rsidRDefault="00597D48">
      <w:pPr>
        <w:spacing w:line="360" w:lineRule="auto"/>
        <w:ind w:firstLine="420"/>
        <w:jc w:val="center"/>
        <w:rPr>
          <w:rFonts w:cs="Times New Roman"/>
          <w:bCs/>
          <w:kern w:val="0"/>
          <w:sz w:val="21"/>
          <w:szCs w:val="21"/>
        </w:rPr>
      </w:pPr>
      <w:r>
        <w:rPr>
          <w:rFonts w:cs="Times New Roman"/>
          <w:bCs/>
          <w:noProof/>
          <w:kern w:val="0"/>
          <w:sz w:val="21"/>
          <w:szCs w:val="21"/>
        </w:rPr>
        <w:drawing>
          <wp:inline distT="0" distB="0" distL="114300" distR="114300" wp14:anchorId="6A2F6D13" wp14:editId="38786D9C">
            <wp:extent cx="4445635" cy="2302510"/>
            <wp:effectExtent l="4445" t="4445" r="15240" b="9525"/>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F5038F9" w14:textId="77777777" w:rsidR="00A739F2" w:rsidRDefault="00597D48">
      <w:pPr>
        <w:ind w:firstLineChars="0" w:firstLine="0"/>
        <w:jc w:val="center"/>
        <w:rPr>
          <w:rFonts w:cs="Times New Roman"/>
          <w:b/>
          <w:sz w:val="24"/>
          <w:lang w:val="en-AU"/>
        </w:rPr>
      </w:pPr>
      <w:r>
        <w:rPr>
          <w:rFonts w:cs="Times New Roman" w:hint="eastAsia"/>
          <w:b/>
          <w:sz w:val="24"/>
          <w:lang w:val="en-AU"/>
        </w:rPr>
        <w:t>图</w:t>
      </w:r>
      <w:r>
        <w:rPr>
          <w:rFonts w:cs="Times New Roman" w:hint="eastAsia"/>
          <w:b/>
          <w:sz w:val="24"/>
        </w:rPr>
        <w:t>3.3</w:t>
      </w:r>
      <w:r>
        <w:rPr>
          <w:rFonts w:cs="Times New Roman" w:hint="eastAsia"/>
          <w:b/>
          <w:sz w:val="24"/>
          <w:lang w:val="en-AU"/>
        </w:rPr>
        <w:t>-</w:t>
      </w:r>
      <w:r>
        <w:rPr>
          <w:rFonts w:cs="Times New Roman" w:hint="eastAsia"/>
          <w:b/>
          <w:sz w:val="24"/>
        </w:rPr>
        <w:t>8</w:t>
      </w:r>
      <w:r>
        <w:rPr>
          <w:rFonts w:cs="Times New Roman" w:hint="eastAsia"/>
          <w:b/>
          <w:sz w:val="24"/>
          <w:lang w:val="en-AU"/>
        </w:rPr>
        <w:t xml:space="preserve">  </w:t>
      </w:r>
      <w:r>
        <w:rPr>
          <w:rFonts w:cs="Times New Roman" w:hint="eastAsia"/>
          <w:b/>
          <w:sz w:val="24"/>
          <w:lang w:val="en-AU"/>
        </w:rPr>
        <w:t>各月辐射量分布图</w:t>
      </w:r>
    </w:p>
    <w:p w14:paraId="53A687F4" w14:textId="77777777" w:rsidR="00A739F2" w:rsidRDefault="00597D48">
      <w:pPr>
        <w:rPr>
          <w:rFonts w:cs="方正仿宋_GB2312"/>
        </w:rPr>
      </w:pPr>
      <w:r>
        <w:rPr>
          <w:rFonts w:cs="方正仿宋_GB2312" w:hint="eastAsia"/>
        </w:rPr>
        <w:t>光伏电站区域多年平均日照时间为</w:t>
      </w:r>
      <w:r>
        <w:rPr>
          <w:rFonts w:cs="方正仿宋_GB2312" w:hint="eastAsia"/>
        </w:rPr>
        <w:t>2898h</w:t>
      </w:r>
      <w:r>
        <w:rPr>
          <w:rFonts w:cs="方正仿宋_GB2312" w:hint="eastAsia"/>
        </w:rPr>
        <w:t>，其中</w:t>
      </w:r>
      <w:r>
        <w:rPr>
          <w:rFonts w:cs="方正仿宋_GB2312" w:hint="eastAsia"/>
        </w:rPr>
        <w:t>6</w:t>
      </w:r>
      <w:r>
        <w:rPr>
          <w:rFonts w:cs="方正仿宋_GB2312" w:hint="eastAsia"/>
        </w:rPr>
        <w:t>月日照时间最长</w:t>
      </w:r>
      <w:r>
        <w:rPr>
          <w:rFonts w:cs="方正仿宋_GB2312" w:hint="eastAsia"/>
        </w:rPr>
        <w:t>289h</w:t>
      </w:r>
      <w:r>
        <w:rPr>
          <w:rFonts w:cs="方正仿宋_GB2312" w:hint="eastAsia"/>
        </w:rPr>
        <w:t>，</w:t>
      </w:r>
      <w:r>
        <w:rPr>
          <w:rFonts w:cs="方正仿宋_GB2312" w:hint="eastAsia"/>
        </w:rPr>
        <w:t>2</w:t>
      </w:r>
      <w:r>
        <w:rPr>
          <w:rFonts w:cs="方正仿宋_GB2312" w:hint="eastAsia"/>
        </w:rPr>
        <w:t>月日照时间最短</w:t>
      </w:r>
      <w:r>
        <w:rPr>
          <w:rFonts w:cs="方正仿宋_GB2312" w:hint="eastAsia"/>
        </w:rPr>
        <w:t>203h</w:t>
      </w:r>
      <w:r>
        <w:rPr>
          <w:rFonts w:cs="方正仿宋_GB2312" w:hint="eastAsia"/>
        </w:rPr>
        <w:t>，场址所在位置日照时数变化如下表所示。</w:t>
      </w:r>
    </w:p>
    <w:p w14:paraId="36BA758E" w14:textId="77777777" w:rsidR="00A739F2" w:rsidRDefault="00597D48">
      <w:pPr>
        <w:spacing w:line="360" w:lineRule="auto"/>
        <w:ind w:firstLineChars="0" w:firstLine="0"/>
        <w:jc w:val="right"/>
        <w:rPr>
          <w:rFonts w:cs="Times New Roman"/>
          <w:color w:val="000000"/>
          <w:spacing w:val="12"/>
          <w:sz w:val="24"/>
          <w:szCs w:val="24"/>
        </w:rPr>
      </w:pPr>
      <w:r>
        <w:rPr>
          <w:rFonts w:cs="Times New Roman" w:hint="eastAsia"/>
          <w:b/>
          <w:kern w:val="0"/>
          <w:sz w:val="24"/>
          <w:szCs w:val="24"/>
          <w:lang w:val="en-AU"/>
        </w:rPr>
        <w:t>表</w:t>
      </w:r>
      <w:r>
        <w:rPr>
          <w:rFonts w:cs="Times New Roman" w:hint="eastAsia"/>
          <w:b/>
          <w:kern w:val="0"/>
          <w:sz w:val="24"/>
          <w:szCs w:val="24"/>
        </w:rPr>
        <w:t>3.3</w:t>
      </w:r>
      <w:r>
        <w:rPr>
          <w:rFonts w:cs="Times New Roman"/>
          <w:b/>
          <w:kern w:val="0"/>
          <w:sz w:val="24"/>
          <w:szCs w:val="24"/>
          <w:lang w:val="en-AU"/>
        </w:rPr>
        <w:t>-</w:t>
      </w:r>
      <w:r>
        <w:rPr>
          <w:rFonts w:cs="Times New Roman" w:hint="eastAsia"/>
          <w:b/>
          <w:kern w:val="0"/>
          <w:sz w:val="24"/>
          <w:szCs w:val="24"/>
        </w:rPr>
        <w:t>5</w:t>
      </w:r>
      <w:r>
        <w:rPr>
          <w:rFonts w:cs="Times New Roman"/>
          <w:b/>
          <w:kern w:val="0"/>
          <w:sz w:val="24"/>
          <w:szCs w:val="24"/>
          <w:lang w:val="en-AU"/>
        </w:rPr>
        <w:t xml:space="preserve"> </w:t>
      </w:r>
      <w:r>
        <w:rPr>
          <w:rFonts w:cs="Times New Roman" w:hint="eastAsia"/>
          <w:b/>
          <w:kern w:val="0"/>
          <w:sz w:val="24"/>
          <w:szCs w:val="24"/>
          <w:lang w:val="en-AU"/>
        </w:rPr>
        <w:t>光伏电站逐月日照时数统计表</w:t>
      </w:r>
      <w:r>
        <w:rPr>
          <w:rFonts w:cs="Times New Roman"/>
          <w:color w:val="000000"/>
          <w:spacing w:val="12"/>
          <w:sz w:val="24"/>
          <w:szCs w:val="24"/>
        </w:rPr>
        <w:t xml:space="preserve">        </w:t>
      </w:r>
      <w:r>
        <w:rPr>
          <w:rFonts w:cs="Times New Roman"/>
          <w:color w:val="000000"/>
          <w:spacing w:val="12"/>
          <w:sz w:val="24"/>
          <w:szCs w:val="24"/>
        </w:rPr>
        <w:t>单位：</w:t>
      </w:r>
      <w:r>
        <w:rPr>
          <w:rFonts w:cs="Times New Roman" w:hint="eastAsia"/>
          <w:color w:val="000000"/>
          <w:spacing w:val="12"/>
          <w:sz w:val="24"/>
          <w:szCs w:val="24"/>
        </w:rPr>
        <w:t>小时</w:t>
      </w:r>
    </w:p>
    <w:tbl>
      <w:tblPr>
        <w:tblW w:w="5000" w:type="pct"/>
        <w:jc w:val="center"/>
        <w:tblBorders>
          <w:top w:val="single" w:sz="12" w:space="0" w:color="auto"/>
          <w:bottom w:val="single" w:sz="12" w:space="0" w:color="auto"/>
          <w:insideH w:val="single" w:sz="8" w:space="0" w:color="auto"/>
          <w:insideV w:val="single" w:sz="8" w:space="0" w:color="auto"/>
        </w:tblBorders>
        <w:tblLook w:val="04A0" w:firstRow="1" w:lastRow="0" w:firstColumn="1" w:lastColumn="0" w:noHBand="0" w:noVBand="1"/>
      </w:tblPr>
      <w:tblGrid>
        <w:gridCol w:w="956"/>
        <w:gridCol w:w="615"/>
        <w:gridCol w:w="615"/>
        <w:gridCol w:w="615"/>
        <w:gridCol w:w="615"/>
        <w:gridCol w:w="615"/>
        <w:gridCol w:w="615"/>
        <w:gridCol w:w="615"/>
        <w:gridCol w:w="615"/>
        <w:gridCol w:w="615"/>
        <w:gridCol w:w="615"/>
        <w:gridCol w:w="614"/>
        <w:gridCol w:w="614"/>
        <w:gridCol w:w="727"/>
      </w:tblGrid>
      <w:tr w:rsidR="00A739F2" w14:paraId="0FF9E452" w14:textId="77777777">
        <w:trPr>
          <w:trHeight w:val="312"/>
          <w:jc w:val="center"/>
        </w:trPr>
        <w:tc>
          <w:tcPr>
            <w:tcW w:w="527" w:type="pct"/>
            <w:tcBorders>
              <w:tl2br w:val="nil"/>
              <w:tr2bl w:val="nil"/>
            </w:tcBorders>
            <w:shd w:val="clear" w:color="auto" w:fill="auto"/>
            <w:vAlign w:val="center"/>
          </w:tcPr>
          <w:p w14:paraId="2A3CA13A"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月</w:t>
            </w:r>
          </w:p>
        </w:tc>
        <w:tc>
          <w:tcPr>
            <w:tcW w:w="339" w:type="pct"/>
            <w:tcBorders>
              <w:tl2br w:val="nil"/>
              <w:tr2bl w:val="nil"/>
            </w:tcBorders>
            <w:shd w:val="clear" w:color="auto" w:fill="auto"/>
            <w:vAlign w:val="center"/>
          </w:tcPr>
          <w:p w14:paraId="73020356"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1</w:t>
            </w:r>
          </w:p>
        </w:tc>
        <w:tc>
          <w:tcPr>
            <w:tcW w:w="339" w:type="pct"/>
            <w:tcBorders>
              <w:tl2br w:val="nil"/>
              <w:tr2bl w:val="nil"/>
            </w:tcBorders>
            <w:shd w:val="clear" w:color="auto" w:fill="auto"/>
            <w:vAlign w:val="center"/>
          </w:tcPr>
          <w:p w14:paraId="2F46EF35"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w:t>
            </w:r>
          </w:p>
        </w:tc>
        <w:tc>
          <w:tcPr>
            <w:tcW w:w="339" w:type="pct"/>
            <w:tcBorders>
              <w:tl2br w:val="nil"/>
              <w:tr2bl w:val="nil"/>
            </w:tcBorders>
            <w:shd w:val="clear" w:color="auto" w:fill="auto"/>
            <w:vAlign w:val="center"/>
          </w:tcPr>
          <w:p w14:paraId="4F538C8F"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3</w:t>
            </w:r>
          </w:p>
        </w:tc>
        <w:tc>
          <w:tcPr>
            <w:tcW w:w="339" w:type="pct"/>
            <w:tcBorders>
              <w:tl2br w:val="nil"/>
              <w:tr2bl w:val="nil"/>
            </w:tcBorders>
            <w:shd w:val="clear" w:color="auto" w:fill="auto"/>
            <w:vAlign w:val="center"/>
          </w:tcPr>
          <w:p w14:paraId="53442EA7"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4</w:t>
            </w:r>
          </w:p>
        </w:tc>
        <w:tc>
          <w:tcPr>
            <w:tcW w:w="339" w:type="pct"/>
            <w:tcBorders>
              <w:tl2br w:val="nil"/>
              <w:tr2bl w:val="nil"/>
            </w:tcBorders>
            <w:shd w:val="clear" w:color="auto" w:fill="auto"/>
            <w:vAlign w:val="center"/>
          </w:tcPr>
          <w:p w14:paraId="79BE9B4D"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5</w:t>
            </w:r>
          </w:p>
        </w:tc>
        <w:tc>
          <w:tcPr>
            <w:tcW w:w="339" w:type="pct"/>
            <w:tcBorders>
              <w:tl2br w:val="nil"/>
              <w:tr2bl w:val="nil"/>
            </w:tcBorders>
            <w:shd w:val="clear" w:color="auto" w:fill="auto"/>
            <w:vAlign w:val="center"/>
          </w:tcPr>
          <w:p w14:paraId="2058C2A0"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6</w:t>
            </w:r>
          </w:p>
        </w:tc>
        <w:tc>
          <w:tcPr>
            <w:tcW w:w="339" w:type="pct"/>
            <w:tcBorders>
              <w:tl2br w:val="nil"/>
              <w:tr2bl w:val="nil"/>
            </w:tcBorders>
            <w:shd w:val="clear" w:color="auto" w:fill="auto"/>
            <w:vAlign w:val="center"/>
          </w:tcPr>
          <w:p w14:paraId="082F2C1A"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7</w:t>
            </w:r>
          </w:p>
        </w:tc>
        <w:tc>
          <w:tcPr>
            <w:tcW w:w="339" w:type="pct"/>
            <w:tcBorders>
              <w:tl2br w:val="nil"/>
              <w:tr2bl w:val="nil"/>
            </w:tcBorders>
            <w:shd w:val="clear" w:color="auto" w:fill="auto"/>
            <w:vAlign w:val="center"/>
          </w:tcPr>
          <w:p w14:paraId="14BB88DC"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8</w:t>
            </w:r>
          </w:p>
        </w:tc>
        <w:tc>
          <w:tcPr>
            <w:tcW w:w="339" w:type="pct"/>
            <w:tcBorders>
              <w:tl2br w:val="nil"/>
              <w:tr2bl w:val="nil"/>
            </w:tcBorders>
            <w:shd w:val="clear" w:color="auto" w:fill="auto"/>
            <w:vAlign w:val="center"/>
          </w:tcPr>
          <w:p w14:paraId="797E2839"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9</w:t>
            </w:r>
          </w:p>
        </w:tc>
        <w:tc>
          <w:tcPr>
            <w:tcW w:w="339" w:type="pct"/>
            <w:tcBorders>
              <w:tl2br w:val="nil"/>
              <w:tr2bl w:val="nil"/>
            </w:tcBorders>
            <w:shd w:val="clear" w:color="auto" w:fill="auto"/>
            <w:vAlign w:val="center"/>
          </w:tcPr>
          <w:p w14:paraId="77DA1DC5"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10</w:t>
            </w:r>
          </w:p>
        </w:tc>
        <w:tc>
          <w:tcPr>
            <w:tcW w:w="339" w:type="pct"/>
            <w:tcBorders>
              <w:tl2br w:val="nil"/>
              <w:tr2bl w:val="nil"/>
            </w:tcBorders>
            <w:shd w:val="clear" w:color="auto" w:fill="auto"/>
            <w:vAlign w:val="center"/>
          </w:tcPr>
          <w:p w14:paraId="05B51391"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11</w:t>
            </w:r>
          </w:p>
        </w:tc>
        <w:tc>
          <w:tcPr>
            <w:tcW w:w="339" w:type="pct"/>
            <w:tcBorders>
              <w:tl2br w:val="nil"/>
              <w:tr2bl w:val="nil"/>
            </w:tcBorders>
            <w:shd w:val="clear" w:color="auto" w:fill="auto"/>
            <w:vAlign w:val="center"/>
          </w:tcPr>
          <w:p w14:paraId="0EBC650A"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12</w:t>
            </w:r>
          </w:p>
        </w:tc>
        <w:tc>
          <w:tcPr>
            <w:tcW w:w="401" w:type="pct"/>
            <w:tcBorders>
              <w:tl2br w:val="nil"/>
              <w:tr2bl w:val="nil"/>
            </w:tcBorders>
            <w:shd w:val="clear" w:color="auto" w:fill="auto"/>
            <w:vAlign w:val="center"/>
          </w:tcPr>
          <w:p w14:paraId="6C7CEF6C"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全年</w:t>
            </w:r>
          </w:p>
        </w:tc>
      </w:tr>
      <w:tr w:rsidR="00A739F2" w14:paraId="628C4D07" w14:textId="77777777">
        <w:trPr>
          <w:trHeight w:val="324"/>
          <w:jc w:val="center"/>
        </w:trPr>
        <w:tc>
          <w:tcPr>
            <w:tcW w:w="527" w:type="pct"/>
            <w:tcBorders>
              <w:tl2br w:val="nil"/>
              <w:tr2bl w:val="nil"/>
            </w:tcBorders>
            <w:shd w:val="clear" w:color="auto" w:fill="auto"/>
            <w:vAlign w:val="center"/>
          </w:tcPr>
          <w:p w14:paraId="00B8C86D"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日照时间</w:t>
            </w:r>
          </w:p>
        </w:tc>
        <w:tc>
          <w:tcPr>
            <w:tcW w:w="339" w:type="pct"/>
            <w:tcBorders>
              <w:tl2br w:val="nil"/>
              <w:tr2bl w:val="nil"/>
            </w:tcBorders>
            <w:shd w:val="clear" w:color="auto" w:fill="auto"/>
            <w:vAlign w:val="center"/>
          </w:tcPr>
          <w:p w14:paraId="4BEDBEA3"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210</w:t>
            </w:r>
          </w:p>
        </w:tc>
        <w:tc>
          <w:tcPr>
            <w:tcW w:w="339" w:type="pct"/>
            <w:tcBorders>
              <w:tl2br w:val="nil"/>
              <w:tr2bl w:val="nil"/>
            </w:tcBorders>
            <w:shd w:val="clear" w:color="auto" w:fill="auto"/>
            <w:vAlign w:val="center"/>
          </w:tcPr>
          <w:p w14:paraId="7AB7402A"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203</w:t>
            </w:r>
          </w:p>
        </w:tc>
        <w:tc>
          <w:tcPr>
            <w:tcW w:w="339" w:type="pct"/>
            <w:tcBorders>
              <w:tl2br w:val="nil"/>
              <w:tr2bl w:val="nil"/>
            </w:tcBorders>
            <w:shd w:val="clear" w:color="auto" w:fill="auto"/>
            <w:vAlign w:val="center"/>
          </w:tcPr>
          <w:p w14:paraId="63258577"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238</w:t>
            </w:r>
          </w:p>
        </w:tc>
        <w:tc>
          <w:tcPr>
            <w:tcW w:w="339" w:type="pct"/>
            <w:tcBorders>
              <w:tl2br w:val="nil"/>
              <w:tr2bl w:val="nil"/>
            </w:tcBorders>
            <w:shd w:val="clear" w:color="auto" w:fill="auto"/>
            <w:vAlign w:val="center"/>
          </w:tcPr>
          <w:p w14:paraId="317E09F6"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247</w:t>
            </w:r>
          </w:p>
        </w:tc>
        <w:tc>
          <w:tcPr>
            <w:tcW w:w="339" w:type="pct"/>
            <w:tcBorders>
              <w:tl2br w:val="nil"/>
              <w:tr2bl w:val="nil"/>
            </w:tcBorders>
            <w:shd w:val="clear" w:color="auto" w:fill="auto"/>
            <w:vAlign w:val="center"/>
          </w:tcPr>
          <w:p w14:paraId="4B50F324"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285</w:t>
            </w:r>
          </w:p>
        </w:tc>
        <w:tc>
          <w:tcPr>
            <w:tcW w:w="339" w:type="pct"/>
            <w:tcBorders>
              <w:tl2br w:val="nil"/>
              <w:tr2bl w:val="nil"/>
            </w:tcBorders>
            <w:shd w:val="clear" w:color="auto" w:fill="auto"/>
            <w:vAlign w:val="center"/>
          </w:tcPr>
          <w:p w14:paraId="7B8C7E92"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289</w:t>
            </w:r>
          </w:p>
        </w:tc>
        <w:tc>
          <w:tcPr>
            <w:tcW w:w="339" w:type="pct"/>
            <w:tcBorders>
              <w:tl2br w:val="nil"/>
              <w:tr2bl w:val="nil"/>
            </w:tcBorders>
            <w:shd w:val="clear" w:color="auto" w:fill="auto"/>
            <w:vAlign w:val="center"/>
          </w:tcPr>
          <w:p w14:paraId="57E0A6B7"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276</w:t>
            </w:r>
          </w:p>
        </w:tc>
        <w:tc>
          <w:tcPr>
            <w:tcW w:w="339" w:type="pct"/>
            <w:tcBorders>
              <w:tl2br w:val="nil"/>
              <w:tr2bl w:val="nil"/>
            </w:tcBorders>
            <w:shd w:val="clear" w:color="auto" w:fill="auto"/>
            <w:vAlign w:val="center"/>
          </w:tcPr>
          <w:p w14:paraId="6068A819"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265</w:t>
            </w:r>
          </w:p>
        </w:tc>
        <w:tc>
          <w:tcPr>
            <w:tcW w:w="339" w:type="pct"/>
            <w:tcBorders>
              <w:tl2br w:val="nil"/>
              <w:tr2bl w:val="nil"/>
            </w:tcBorders>
            <w:shd w:val="clear" w:color="auto" w:fill="auto"/>
            <w:vAlign w:val="center"/>
          </w:tcPr>
          <w:p w14:paraId="2A05BD52"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234</w:t>
            </w:r>
          </w:p>
        </w:tc>
        <w:tc>
          <w:tcPr>
            <w:tcW w:w="339" w:type="pct"/>
            <w:tcBorders>
              <w:tl2br w:val="nil"/>
              <w:tr2bl w:val="nil"/>
            </w:tcBorders>
            <w:shd w:val="clear" w:color="auto" w:fill="auto"/>
            <w:vAlign w:val="center"/>
          </w:tcPr>
          <w:p w14:paraId="393CBE64"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230</w:t>
            </w:r>
          </w:p>
        </w:tc>
        <w:tc>
          <w:tcPr>
            <w:tcW w:w="339" w:type="pct"/>
            <w:tcBorders>
              <w:tl2br w:val="nil"/>
              <w:tr2bl w:val="nil"/>
            </w:tcBorders>
            <w:shd w:val="clear" w:color="auto" w:fill="auto"/>
            <w:vAlign w:val="center"/>
          </w:tcPr>
          <w:p w14:paraId="6A60E6BB"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214</w:t>
            </w:r>
          </w:p>
        </w:tc>
        <w:tc>
          <w:tcPr>
            <w:tcW w:w="339" w:type="pct"/>
            <w:tcBorders>
              <w:tl2br w:val="nil"/>
              <w:tr2bl w:val="nil"/>
            </w:tcBorders>
            <w:shd w:val="clear" w:color="auto" w:fill="auto"/>
            <w:vAlign w:val="center"/>
          </w:tcPr>
          <w:p w14:paraId="22807D0F"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207</w:t>
            </w:r>
          </w:p>
        </w:tc>
        <w:tc>
          <w:tcPr>
            <w:tcW w:w="401" w:type="pct"/>
            <w:tcBorders>
              <w:tl2br w:val="nil"/>
              <w:tr2bl w:val="nil"/>
            </w:tcBorders>
            <w:shd w:val="clear" w:color="auto" w:fill="auto"/>
            <w:vAlign w:val="center"/>
          </w:tcPr>
          <w:p w14:paraId="364A7C38" w14:textId="77777777" w:rsidR="00A739F2" w:rsidRDefault="00597D48">
            <w:pPr>
              <w:ind w:firstLineChars="0" w:firstLine="0"/>
              <w:jc w:val="center"/>
              <w:rPr>
                <w:rFonts w:cs="Times New Roman"/>
                <w:kern w:val="0"/>
                <w:sz w:val="24"/>
                <w:szCs w:val="24"/>
                <w:lang w:val="en-AU"/>
              </w:rPr>
            </w:pPr>
            <w:r>
              <w:rPr>
                <w:rFonts w:cs="Times New Roman" w:hint="eastAsia"/>
                <w:kern w:val="0"/>
                <w:sz w:val="24"/>
                <w:szCs w:val="24"/>
                <w:lang w:val="en-AU"/>
              </w:rPr>
              <w:t>2898</w:t>
            </w:r>
          </w:p>
        </w:tc>
      </w:tr>
    </w:tbl>
    <w:p w14:paraId="3B73F9D5" w14:textId="77777777" w:rsidR="00A739F2" w:rsidRDefault="00597D48">
      <w:pPr>
        <w:rPr>
          <w:rFonts w:cs="方正仿宋_GB2312"/>
        </w:rPr>
      </w:pPr>
      <w:r>
        <w:rPr>
          <w:rFonts w:cs="方正仿宋_GB2312" w:hint="eastAsia"/>
        </w:rPr>
        <w:t>太阳能资源稳定度是太阳能资源年内变化的状态和幅度，根据《太阳能资源评估方法》（</w:t>
      </w:r>
      <w:r>
        <w:rPr>
          <w:rFonts w:cs="方正仿宋_GB2312" w:hint="eastAsia"/>
        </w:rPr>
        <w:t>GBT37526-2019</w:t>
      </w:r>
      <w:r>
        <w:rPr>
          <w:rFonts w:cs="方正仿宋_GB2312" w:hint="eastAsia"/>
        </w:rPr>
        <w:t>）的稳定度等级划分，变化稳定度分为四个等级：很稳定（</w:t>
      </w:r>
      <w:r>
        <w:rPr>
          <w:rFonts w:cs="方正仿宋_GB2312" w:hint="eastAsia"/>
        </w:rPr>
        <w:t>A</w:t>
      </w:r>
      <w:r>
        <w:rPr>
          <w:rFonts w:cs="方正仿宋_GB2312" w:hint="eastAsia"/>
        </w:rPr>
        <w:t>）、稳定（</w:t>
      </w:r>
      <w:r>
        <w:rPr>
          <w:rFonts w:cs="方正仿宋_GB2312" w:hint="eastAsia"/>
        </w:rPr>
        <w:t>B</w:t>
      </w:r>
      <w:r>
        <w:rPr>
          <w:rFonts w:cs="方正仿宋_GB2312" w:hint="eastAsia"/>
        </w:rPr>
        <w:t>）、一般（</w:t>
      </w:r>
      <w:r>
        <w:rPr>
          <w:rFonts w:cs="方正仿宋_GB2312" w:hint="eastAsia"/>
        </w:rPr>
        <w:t>C</w:t>
      </w:r>
      <w:r>
        <w:rPr>
          <w:rFonts w:cs="方正仿宋_GB2312" w:hint="eastAsia"/>
        </w:rPr>
        <w:t>）、欠稳定（</w:t>
      </w:r>
      <w:r>
        <w:rPr>
          <w:rFonts w:cs="方正仿宋_GB2312" w:hint="eastAsia"/>
        </w:rPr>
        <w:t>D</w:t>
      </w:r>
      <w:r>
        <w:rPr>
          <w:rFonts w:cs="方正仿宋_GB2312" w:hint="eastAsia"/>
        </w:rPr>
        <w:t>）。划分标准如下表。</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3019"/>
        <w:gridCol w:w="3021"/>
        <w:gridCol w:w="3021"/>
      </w:tblGrid>
      <w:tr w:rsidR="00A739F2" w14:paraId="39DCD4B4" w14:textId="77777777">
        <w:trPr>
          <w:trHeight w:val="397"/>
          <w:tblHeader/>
          <w:jc w:val="center"/>
        </w:trPr>
        <w:tc>
          <w:tcPr>
            <w:tcW w:w="1666" w:type="pct"/>
          </w:tcPr>
          <w:p w14:paraId="6B44369E"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等级名称</w:t>
            </w:r>
          </w:p>
        </w:tc>
        <w:tc>
          <w:tcPr>
            <w:tcW w:w="1667" w:type="pct"/>
          </w:tcPr>
          <w:p w14:paraId="32F04E39"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分级阈值</w:t>
            </w:r>
          </w:p>
        </w:tc>
        <w:tc>
          <w:tcPr>
            <w:tcW w:w="1667" w:type="pct"/>
          </w:tcPr>
          <w:p w14:paraId="47F5C03E"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等级符号</w:t>
            </w:r>
          </w:p>
        </w:tc>
      </w:tr>
      <w:tr w:rsidR="00A739F2" w14:paraId="465C5581" w14:textId="77777777">
        <w:trPr>
          <w:trHeight w:val="397"/>
          <w:jc w:val="center"/>
        </w:trPr>
        <w:tc>
          <w:tcPr>
            <w:tcW w:w="1666" w:type="pct"/>
          </w:tcPr>
          <w:p w14:paraId="67D8D07C" w14:textId="77777777" w:rsidR="00A739F2" w:rsidRDefault="00597D48">
            <w:pPr>
              <w:ind w:firstLineChars="0" w:firstLine="0"/>
              <w:jc w:val="center"/>
              <w:rPr>
                <w:rFonts w:cs="Times New Roman"/>
                <w:kern w:val="0"/>
                <w:sz w:val="24"/>
                <w:szCs w:val="24"/>
              </w:rPr>
            </w:pPr>
            <w:r>
              <w:rPr>
                <w:rFonts w:cs="Times New Roman" w:hint="eastAsia"/>
                <w:kern w:val="0"/>
                <w:sz w:val="24"/>
                <w:szCs w:val="24"/>
              </w:rPr>
              <w:lastRenderedPageBreak/>
              <w:t>很稳定</w:t>
            </w:r>
          </w:p>
        </w:tc>
        <w:tc>
          <w:tcPr>
            <w:tcW w:w="1667" w:type="pct"/>
          </w:tcPr>
          <w:p w14:paraId="03C30FC0"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RW</w:t>
            </w:r>
            <w:r>
              <w:rPr>
                <w:rFonts w:cs="Times New Roman" w:hint="eastAsia"/>
                <w:kern w:val="0"/>
                <w:sz w:val="24"/>
                <w:szCs w:val="24"/>
              </w:rPr>
              <w:t>≥</w:t>
            </w:r>
            <w:r>
              <w:rPr>
                <w:rFonts w:cs="Times New Roman" w:hint="eastAsia"/>
                <w:kern w:val="0"/>
                <w:sz w:val="24"/>
                <w:szCs w:val="24"/>
              </w:rPr>
              <w:t>0.47</w:t>
            </w:r>
          </w:p>
        </w:tc>
        <w:tc>
          <w:tcPr>
            <w:tcW w:w="1667" w:type="pct"/>
          </w:tcPr>
          <w:p w14:paraId="6D3FDF09"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A</w:t>
            </w:r>
          </w:p>
        </w:tc>
      </w:tr>
      <w:tr w:rsidR="00A739F2" w14:paraId="7CBADF92" w14:textId="77777777">
        <w:trPr>
          <w:trHeight w:val="397"/>
          <w:jc w:val="center"/>
        </w:trPr>
        <w:tc>
          <w:tcPr>
            <w:tcW w:w="1666" w:type="pct"/>
          </w:tcPr>
          <w:p w14:paraId="5F490BCE"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稳定</w:t>
            </w:r>
          </w:p>
        </w:tc>
        <w:tc>
          <w:tcPr>
            <w:tcW w:w="1667" w:type="pct"/>
          </w:tcPr>
          <w:p w14:paraId="1056C4CA"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0.36</w:t>
            </w:r>
            <w:r>
              <w:rPr>
                <w:rFonts w:cs="Times New Roman" w:hint="eastAsia"/>
                <w:kern w:val="0"/>
                <w:sz w:val="24"/>
                <w:szCs w:val="24"/>
              </w:rPr>
              <w:t>≤</w:t>
            </w:r>
            <w:r>
              <w:rPr>
                <w:rFonts w:cs="Times New Roman" w:hint="eastAsia"/>
                <w:kern w:val="0"/>
                <w:sz w:val="24"/>
                <w:szCs w:val="24"/>
              </w:rPr>
              <w:t>RW</w:t>
            </w:r>
            <w:r>
              <w:rPr>
                <w:rFonts w:cs="Times New Roman" w:hint="eastAsia"/>
                <w:kern w:val="0"/>
                <w:sz w:val="24"/>
                <w:szCs w:val="24"/>
              </w:rPr>
              <w:t>＜</w:t>
            </w:r>
            <w:r>
              <w:rPr>
                <w:rFonts w:cs="Times New Roman" w:hint="eastAsia"/>
                <w:kern w:val="0"/>
                <w:sz w:val="24"/>
                <w:szCs w:val="24"/>
              </w:rPr>
              <w:t>0.47</w:t>
            </w:r>
          </w:p>
        </w:tc>
        <w:tc>
          <w:tcPr>
            <w:tcW w:w="1667" w:type="pct"/>
          </w:tcPr>
          <w:p w14:paraId="6BC842E3"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B</w:t>
            </w:r>
          </w:p>
        </w:tc>
      </w:tr>
      <w:tr w:rsidR="00A739F2" w14:paraId="13DE4D10" w14:textId="77777777">
        <w:trPr>
          <w:trHeight w:val="397"/>
          <w:jc w:val="center"/>
        </w:trPr>
        <w:tc>
          <w:tcPr>
            <w:tcW w:w="1666" w:type="pct"/>
          </w:tcPr>
          <w:p w14:paraId="281FCD77"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一般</w:t>
            </w:r>
          </w:p>
        </w:tc>
        <w:tc>
          <w:tcPr>
            <w:tcW w:w="1667" w:type="pct"/>
          </w:tcPr>
          <w:p w14:paraId="671A1795"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0.28</w:t>
            </w:r>
            <w:r>
              <w:rPr>
                <w:rFonts w:cs="Times New Roman" w:hint="eastAsia"/>
                <w:kern w:val="0"/>
                <w:sz w:val="24"/>
                <w:szCs w:val="24"/>
              </w:rPr>
              <w:t>≤</w:t>
            </w:r>
            <w:r>
              <w:rPr>
                <w:rFonts w:cs="Times New Roman" w:hint="eastAsia"/>
                <w:kern w:val="0"/>
                <w:sz w:val="24"/>
                <w:szCs w:val="24"/>
              </w:rPr>
              <w:t>RW</w:t>
            </w:r>
            <w:r>
              <w:rPr>
                <w:rFonts w:cs="Times New Roman" w:hint="eastAsia"/>
                <w:kern w:val="0"/>
                <w:sz w:val="24"/>
                <w:szCs w:val="24"/>
              </w:rPr>
              <w:t>＜</w:t>
            </w:r>
            <w:r>
              <w:rPr>
                <w:rFonts w:cs="Times New Roman" w:hint="eastAsia"/>
                <w:kern w:val="0"/>
                <w:sz w:val="24"/>
                <w:szCs w:val="24"/>
              </w:rPr>
              <w:t>0.36</w:t>
            </w:r>
          </w:p>
        </w:tc>
        <w:tc>
          <w:tcPr>
            <w:tcW w:w="1667" w:type="pct"/>
          </w:tcPr>
          <w:p w14:paraId="6F07A8A9"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C</w:t>
            </w:r>
          </w:p>
        </w:tc>
      </w:tr>
      <w:tr w:rsidR="00A739F2" w14:paraId="64C0C039" w14:textId="77777777">
        <w:trPr>
          <w:trHeight w:val="397"/>
          <w:jc w:val="center"/>
        </w:trPr>
        <w:tc>
          <w:tcPr>
            <w:tcW w:w="1666" w:type="pct"/>
          </w:tcPr>
          <w:p w14:paraId="523F276B"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欠稳定</w:t>
            </w:r>
          </w:p>
        </w:tc>
        <w:tc>
          <w:tcPr>
            <w:tcW w:w="1667" w:type="pct"/>
          </w:tcPr>
          <w:p w14:paraId="5BD80E15"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RW</w:t>
            </w:r>
            <w:r>
              <w:rPr>
                <w:rFonts w:cs="Times New Roman" w:hint="eastAsia"/>
                <w:kern w:val="0"/>
                <w:sz w:val="24"/>
                <w:szCs w:val="24"/>
              </w:rPr>
              <w:t>＜</w:t>
            </w:r>
            <w:r>
              <w:rPr>
                <w:rFonts w:cs="Times New Roman" w:hint="eastAsia"/>
                <w:kern w:val="0"/>
                <w:sz w:val="24"/>
                <w:szCs w:val="24"/>
              </w:rPr>
              <w:t>0.28</w:t>
            </w:r>
          </w:p>
        </w:tc>
        <w:tc>
          <w:tcPr>
            <w:tcW w:w="1667" w:type="pct"/>
          </w:tcPr>
          <w:p w14:paraId="0AA13025"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D</w:t>
            </w:r>
          </w:p>
        </w:tc>
      </w:tr>
      <w:tr w:rsidR="00A739F2" w14:paraId="4C1FEF21" w14:textId="77777777">
        <w:trPr>
          <w:trHeight w:val="397"/>
          <w:jc w:val="center"/>
        </w:trPr>
        <w:tc>
          <w:tcPr>
            <w:tcW w:w="5000" w:type="pct"/>
            <w:gridSpan w:val="3"/>
          </w:tcPr>
          <w:p w14:paraId="519B412B" w14:textId="77777777" w:rsidR="00A739F2" w:rsidRDefault="00597D48">
            <w:pPr>
              <w:ind w:firstLineChars="0" w:firstLine="0"/>
              <w:jc w:val="center"/>
              <w:rPr>
                <w:rFonts w:cs="Times New Roman"/>
                <w:kern w:val="0"/>
                <w:sz w:val="24"/>
                <w:szCs w:val="24"/>
              </w:rPr>
            </w:pPr>
            <w:r>
              <w:rPr>
                <w:rFonts w:cs="Times New Roman" w:hint="eastAsia"/>
                <w:kern w:val="0"/>
                <w:sz w:val="24"/>
                <w:szCs w:val="24"/>
              </w:rPr>
              <w:t>注：</w:t>
            </w:r>
            <w:r>
              <w:rPr>
                <w:rFonts w:cs="Times New Roman" w:hint="eastAsia"/>
                <w:kern w:val="0"/>
                <w:sz w:val="24"/>
                <w:szCs w:val="24"/>
              </w:rPr>
              <w:t>RW</w:t>
            </w:r>
            <w:r>
              <w:rPr>
                <w:rFonts w:cs="Times New Roman" w:hint="eastAsia"/>
                <w:kern w:val="0"/>
                <w:sz w:val="24"/>
                <w:szCs w:val="24"/>
              </w:rPr>
              <w:t>表示稳定度，计算</w:t>
            </w:r>
            <w:r>
              <w:rPr>
                <w:rFonts w:cs="Times New Roman" w:hint="eastAsia"/>
                <w:kern w:val="0"/>
                <w:sz w:val="24"/>
                <w:szCs w:val="24"/>
              </w:rPr>
              <w:t>RW</w:t>
            </w:r>
            <w:r>
              <w:rPr>
                <w:rFonts w:cs="Times New Roman" w:hint="eastAsia"/>
                <w:kern w:val="0"/>
                <w:sz w:val="24"/>
                <w:szCs w:val="24"/>
              </w:rPr>
              <w:t>时，首先计算总辐射各月平均日辐射量的多年平均值（一般取</w:t>
            </w:r>
            <w:r>
              <w:rPr>
                <w:rFonts w:cs="Times New Roman" w:hint="eastAsia"/>
                <w:kern w:val="0"/>
                <w:sz w:val="24"/>
                <w:szCs w:val="24"/>
              </w:rPr>
              <w:t>30</w:t>
            </w:r>
            <w:r>
              <w:rPr>
                <w:rFonts w:cs="Times New Roman" w:hint="eastAsia"/>
                <w:kern w:val="0"/>
                <w:sz w:val="24"/>
                <w:szCs w:val="24"/>
              </w:rPr>
              <w:t>年平均），然后取最小值与最大值之比。</w:t>
            </w:r>
          </w:p>
        </w:tc>
      </w:tr>
    </w:tbl>
    <w:p w14:paraId="00259D09" w14:textId="77777777" w:rsidR="00A739F2" w:rsidRDefault="00597D48">
      <w:pPr>
        <w:rPr>
          <w:rFonts w:cs="方正仿宋_GB2312"/>
        </w:rPr>
      </w:pPr>
      <w:r>
        <w:rPr>
          <w:rFonts w:cs="方正仿宋_GB2312" w:hint="eastAsia"/>
        </w:rPr>
        <w:t>基于</w:t>
      </w:r>
      <w:r>
        <w:rPr>
          <w:rFonts w:cs="方正仿宋_GB2312" w:hint="eastAsia"/>
        </w:rPr>
        <w:t>GB/T 37526-2019</w:t>
      </w:r>
      <w:r>
        <w:rPr>
          <w:rFonts w:cs="方正仿宋_GB2312" w:hint="eastAsia"/>
        </w:rPr>
        <w:t>《太阳能资源评估方法》的稳定度等级划分标准，利用</w:t>
      </w:r>
      <w:proofErr w:type="spellStart"/>
      <w:r>
        <w:rPr>
          <w:rFonts w:cs="方正仿宋_GB2312" w:hint="eastAsia"/>
        </w:rPr>
        <w:t>Solargis</w:t>
      </w:r>
      <w:proofErr w:type="spellEnd"/>
      <w:r>
        <w:rPr>
          <w:rFonts w:cs="方正仿宋_GB2312" w:hint="eastAsia"/>
        </w:rPr>
        <w:t>数据库数据计算</w:t>
      </w:r>
      <w:proofErr w:type="gramStart"/>
      <w:r>
        <w:rPr>
          <w:rFonts w:cs="方正仿宋_GB2312" w:hint="eastAsia"/>
        </w:rPr>
        <w:t>得到本光伏</w:t>
      </w:r>
      <w:proofErr w:type="gramEnd"/>
      <w:r>
        <w:rPr>
          <w:rFonts w:cs="方正仿宋_GB2312" w:hint="eastAsia"/>
        </w:rPr>
        <w:t>电站太阳能资源稳定度，如下表所示。本场址月平均日辐射量最小值为</w:t>
      </w:r>
      <w:r>
        <w:rPr>
          <w:rFonts w:cs="方正仿宋_GB2312" w:hint="eastAsia"/>
        </w:rPr>
        <w:t>7.68MJ/m</w:t>
      </w:r>
      <w:r>
        <w:rPr>
          <w:rFonts w:cs="方正仿宋_GB2312" w:hint="eastAsia"/>
          <w:vertAlign w:val="superscript"/>
        </w:rPr>
        <w:t>2</w:t>
      </w:r>
      <w:r>
        <w:rPr>
          <w:rFonts w:cs="方正仿宋_GB2312" w:hint="eastAsia"/>
        </w:rPr>
        <w:t>，最大值为</w:t>
      </w:r>
      <w:r>
        <w:rPr>
          <w:rFonts w:cs="方正仿宋_GB2312" w:hint="eastAsia"/>
        </w:rPr>
        <w:t>21.48 MJ/m</w:t>
      </w:r>
      <w:r>
        <w:rPr>
          <w:rFonts w:cs="方正仿宋_GB2312" w:hint="eastAsia"/>
          <w:vertAlign w:val="superscript"/>
        </w:rPr>
        <w:t>2</w:t>
      </w:r>
      <w:r>
        <w:rPr>
          <w:rFonts w:cs="方正仿宋_GB2312" w:hint="eastAsia"/>
        </w:rPr>
        <w:t>，计算得到稳定度（月平均日辐射量最小值与最大值之比）为</w:t>
      </w:r>
      <w:r>
        <w:rPr>
          <w:rFonts w:cs="方正仿宋_GB2312" w:hint="eastAsia"/>
        </w:rPr>
        <w:t>0.358</w:t>
      </w:r>
      <w:r>
        <w:rPr>
          <w:rFonts w:cs="方正仿宋_GB2312" w:hint="eastAsia"/>
        </w:rPr>
        <w:t>。根据</w:t>
      </w:r>
      <w:r>
        <w:rPr>
          <w:rFonts w:cs="方正仿宋_GB2312" w:hint="eastAsia"/>
        </w:rPr>
        <w:t>GB/T 37526-2019</w:t>
      </w:r>
      <w:r>
        <w:rPr>
          <w:rFonts w:cs="方正仿宋_GB2312" w:hint="eastAsia"/>
        </w:rPr>
        <w:t>《太阳能资源评估方法》的稳定度等级划分，该地区的光伏场址稳定度属</w:t>
      </w:r>
      <w:r>
        <w:rPr>
          <w:rFonts w:cs="方正仿宋_GB2312" w:hint="eastAsia"/>
        </w:rPr>
        <w:t>C</w:t>
      </w:r>
      <w:r>
        <w:rPr>
          <w:rFonts w:cs="方正仿宋_GB2312" w:hint="eastAsia"/>
        </w:rPr>
        <w:t>级，属“一般区域”，较为有利于光伏电站的稳定运行。</w:t>
      </w:r>
    </w:p>
    <w:p w14:paraId="3E05FFCB" w14:textId="77777777" w:rsidR="00A739F2" w:rsidRDefault="00597D48">
      <w:pPr>
        <w:spacing w:line="360" w:lineRule="auto"/>
        <w:ind w:firstLineChars="0" w:firstLine="0"/>
        <w:jc w:val="center"/>
        <w:rPr>
          <w:rFonts w:cs="Times New Roman"/>
          <w:b/>
          <w:kern w:val="0"/>
          <w:sz w:val="24"/>
          <w:szCs w:val="28"/>
          <w:lang w:val="en-AU"/>
        </w:rPr>
      </w:pPr>
      <w:r>
        <w:rPr>
          <w:rFonts w:cs="Times New Roman" w:hint="eastAsia"/>
          <w:b/>
          <w:kern w:val="0"/>
          <w:sz w:val="24"/>
          <w:szCs w:val="28"/>
          <w:lang w:val="en-AU"/>
        </w:rPr>
        <w:t>表</w:t>
      </w:r>
      <w:r>
        <w:rPr>
          <w:rFonts w:cs="Times New Roman" w:hint="eastAsia"/>
          <w:b/>
          <w:kern w:val="0"/>
          <w:sz w:val="24"/>
          <w:szCs w:val="28"/>
        </w:rPr>
        <w:t>3.3</w:t>
      </w:r>
      <w:r>
        <w:rPr>
          <w:rFonts w:cs="Times New Roman"/>
          <w:b/>
          <w:kern w:val="0"/>
          <w:sz w:val="24"/>
          <w:szCs w:val="28"/>
          <w:lang w:val="en-AU"/>
        </w:rPr>
        <w:t>-</w:t>
      </w:r>
      <w:r>
        <w:rPr>
          <w:rFonts w:cs="Times New Roman" w:hint="eastAsia"/>
          <w:b/>
          <w:kern w:val="0"/>
          <w:sz w:val="24"/>
          <w:szCs w:val="28"/>
        </w:rPr>
        <w:t>6</w:t>
      </w:r>
      <w:r>
        <w:rPr>
          <w:rFonts w:cs="Times New Roman"/>
          <w:b/>
          <w:kern w:val="0"/>
          <w:sz w:val="24"/>
          <w:szCs w:val="28"/>
          <w:lang w:val="en-AU"/>
        </w:rPr>
        <w:t xml:space="preserve"> </w:t>
      </w:r>
      <w:r>
        <w:rPr>
          <w:rFonts w:cs="Times New Roman"/>
          <w:b/>
          <w:kern w:val="0"/>
          <w:sz w:val="24"/>
          <w:szCs w:val="28"/>
          <w:lang w:val="en-AU"/>
        </w:rPr>
        <w:t>场址月平均日辐射量计算表</w:t>
      </w:r>
    </w:p>
    <w:tbl>
      <w:tblPr>
        <w:tblW w:w="5000" w:type="pct"/>
        <w:jc w:val="center"/>
        <w:tblBorders>
          <w:top w:val="single" w:sz="12" w:space="0" w:color="000000"/>
          <w:bottom w:val="single" w:sz="12" w:space="0" w:color="auto"/>
          <w:insideH w:val="single" w:sz="2" w:space="0" w:color="000000"/>
          <w:insideV w:val="single" w:sz="2" w:space="0" w:color="000000"/>
        </w:tblBorders>
        <w:tblLayout w:type="fixed"/>
        <w:tblCellMar>
          <w:left w:w="30" w:type="dxa"/>
          <w:right w:w="30" w:type="dxa"/>
        </w:tblCellMar>
        <w:tblLook w:val="04A0" w:firstRow="1" w:lastRow="0" w:firstColumn="1" w:lastColumn="0" w:noHBand="0" w:noVBand="1"/>
      </w:tblPr>
      <w:tblGrid>
        <w:gridCol w:w="1251"/>
        <w:gridCol w:w="491"/>
        <w:gridCol w:w="617"/>
        <w:gridCol w:w="617"/>
        <w:gridCol w:w="617"/>
        <w:gridCol w:w="618"/>
        <w:gridCol w:w="618"/>
        <w:gridCol w:w="618"/>
        <w:gridCol w:w="618"/>
        <w:gridCol w:w="618"/>
        <w:gridCol w:w="618"/>
        <w:gridCol w:w="493"/>
        <w:gridCol w:w="493"/>
        <w:gridCol w:w="618"/>
      </w:tblGrid>
      <w:tr w:rsidR="00A739F2" w14:paraId="1303E7FA" w14:textId="77777777">
        <w:trPr>
          <w:cantSplit/>
          <w:trHeight w:val="170"/>
          <w:jc w:val="center"/>
        </w:trPr>
        <w:tc>
          <w:tcPr>
            <w:tcW w:w="702" w:type="pct"/>
            <w:vAlign w:val="center"/>
          </w:tcPr>
          <w:p w14:paraId="0732D7F5"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辐射量（</w:t>
            </w:r>
            <w:r>
              <w:rPr>
                <w:rFonts w:cs="Times New Roman" w:hint="eastAsia"/>
                <w:kern w:val="0"/>
                <w:sz w:val="24"/>
                <w:szCs w:val="24"/>
              </w:rPr>
              <w:t>MJ/m</w:t>
            </w:r>
            <w:r>
              <w:rPr>
                <w:rFonts w:cs="Times New Roman" w:hint="eastAsia"/>
                <w:kern w:val="0"/>
                <w:sz w:val="24"/>
                <w:szCs w:val="24"/>
                <w:vertAlign w:val="superscript"/>
              </w:rPr>
              <w:t>2</w:t>
            </w:r>
            <w:r>
              <w:rPr>
                <w:rFonts w:cs="Times New Roman" w:hint="eastAsia"/>
                <w:kern w:val="0"/>
                <w:sz w:val="24"/>
                <w:szCs w:val="24"/>
              </w:rPr>
              <w:t>）</w:t>
            </w:r>
          </w:p>
        </w:tc>
        <w:tc>
          <w:tcPr>
            <w:tcW w:w="276" w:type="pct"/>
            <w:vAlign w:val="center"/>
          </w:tcPr>
          <w:p w14:paraId="44937F43"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1</w:t>
            </w:r>
            <w:r>
              <w:rPr>
                <w:rFonts w:cs="Times New Roman" w:hint="eastAsia"/>
                <w:kern w:val="0"/>
                <w:sz w:val="24"/>
                <w:szCs w:val="24"/>
              </w:rPr>
              <w:t>月</w:t>
            </w:r>
          </w:p>
        </w:tc>
        <w:tc>
          <w:tcPr>
            <w:tcW w:w="346" w:type="pct"/>
            <w:vAlign w:val="center"/>
          </w:tcPr>
          <w:p w14:paraId="6985FC16"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2</w:t>
            </w:r>
            <w:r>
              <w:rPr>
                <w:rFonts w:cs="Times New Roman" w:hint="eastAsia"/>
                <w:kern w:val="0"/>
                <w:sz w:val="24"/>
                <w:szCs w:val="24"/>
              </w:rPr>
              <w:t>月</w:t>
            </w:r>
          </w:p>
        </w:tc>
        <w:tc>
          <w:tcPr>
            <w:tcW w:w="346" w:type="pct"/>
            <w:vAlign w:val="center"/>
          </w:tcPr>
          <w:p w14:paraId="5424D486"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3</w:t>
            </w:r>
            <w:r>
              <w:rPr>
                <w:rFonts w:cs="Times New Roman" w:hint="eastAsia"/>
                <w:kern w:val="0"/>
                <w:sz w:val="24"/>
                <w:szCs w:val="24"/>
              </w:rPr>
              <w:t>月</w:t>
            </w:r>
          </w:p>
        </w:tc>
        <w:tc>
          <w:tcPr>
            <w:tcW w:w="346" w:type="pct"/>
            <w:vAlign w:val="center"/>
          </w:tcPr>
          <w:p w14:paraId="23F9EE2D"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4</w:t>
            </w:r>
            <w:r>
              <w:rPr>
                <w:rFonts w:cs="Times New Roman" w:hint="eastAsia"/>
                <w:kern w:val="0"/>
                <w:sz w:val="24"/>
                <w:szCs w:val="24"/>
              </w:rPr>
              <w:t>月</w:t>
            </w:r>
          </w:p>
        </w:tc>
        <w:tc>
          <w:tcPr>
            <w:tcW w:w="346" w:type="pct"/>
            <w:vAlign w:val="center"/>
          </w:tcPr>
          <w:p w14:paraId="4632F17D"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5</w:t>
            </w:r>
            <w:r>
              <w:rPr>
                <w:rFonts w:cs="Times New Roman" w:hint="eastAsia"/>
                <w:kern w:val="0"/>
                <w:sz w:val="24"/>
                <w:szCs w:val="24"/>
              </w:rPr>
              <w:t>月</w:t>
            </w:r>
          </w:p>
        </w:tc>
        <w:tc>
          <w:tcPr>
            <w:tcW w:w="346" w:type="pct"/>
            <w:vAlign w:val="center"/>
          </w:tcPr>
          <w:p w14:paraId="2B672AA5"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6</w:t>
            </w:r>
            <w:r>
              <w:rPr>
                <w:rFonts w:cs="Times New Roman" w:hint="eastAsia"/>
                <w:kern w:val="0"/>
                <w:sz w:val="24"/>
                <w:szCs w:val="24"/>
              </w:rPr>
              <w:t>月</w:t>
            </w:r>
          </w:p>
        </w:tc>
        <w:tc>
          <w:tcPr>
            <w:tcW w:w="346" w:type="pct"/>
            <w:vAlign w:val="center"/>
          </w:tcPr>
          <w:p w14:paraId="2FDBB470"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7</w:t>
            </w:r>
            <w:r>
              <w:rPr>
                <w:rFonts w:cs="Times New Roman" w:hint="eastAsia"/>
                <w:kern w:val="0"/>
                <w:sz w:val="24"/>
                <w:szCs w:val="24"/>
              </w:rPr>
              <w:t>月</w:t>
            </w:r>
          </w:p>
        </w:tc>
        <w:tc>
          <w:tcPr>
            <w:tcW w:w="346" w:type="pct"/>
            <w:vAlign w:val="center"/>
          </w:tcPr>
          <w:p w14:paraId="1AA604E1"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8</w:t>
            </w:r>
            <w:r>
              <w:rPr>
                <w:rFonts w:cs="Times New Roman" w:hint="eastAsia"/>
                <w:kern w:val="0"/>
                <w:sz w:val="24"/>
                <w:szCs w:val="24"/>
              </w:rPr>
              <w:t>月</w:t>
            </w:r>
          </w:p>
        </w:tc>
        <w:tc>
          <w:tcPr>
            <w:tcW w:w="346" w:type="pct"/>
            <w:vAlign w:val="center"/>
          </w:tcPr>
          <w:p w14:paraId="6E15FD8F"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9</w:t>
            </w:r>
            <w:r>
              <w:rPr>
                <w:rFonts w:cs="Times New Roman" w:hint="eastAsia"/>
                <w:kern w:val="0"/>
                <w:sz w:val="24"/>
                <w:szCs w:val="24"/>
              </w:rPr>
              <w:t>月</w:t>
            </w:r>
          </w:p>
        </w:tc>
        <w:tc>
          <w:tcPr>
            <w:tcW w:w="346" w:type="pct"/>
            <w:vAlign w:val="center"/>
          </w:tcPr>
          <w:p w14:paraId="5CAD3E46"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10</w:t>
            </w:r>
            <w:r>
              <w:rPr>
                <w:rFonts w:cs="Times New Roman" w:hint="eastAsia"/>
                <w:kern w:val="0"/>
                <w:sz w:val="24"/>
                <w:szCs w:val="24"/>
              </w:rPr>
              <w:t>月</w:t>
            </w:r>
          </w:p>
        </w:tc>
        <w:tc>
          <w:tcPr>
            <w:tcW w:w="277" w:type="pct"/>
            <w:vAlign w:val="center"/>
          </w:tcPr>
          <w:p w14:paraId="7D3AEFD9"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11</w:t>
            </w:r>
            <w:r>
              <w:rPr>
                <w:rFonts w:cs="Times New Roman" w:hint="eastAsia"/>
                <w:kern w:val="0"/>
                <w:sz w:val="24"/>
                <w:szCs w:val="24"/>
              </w:rPr>
              <w:t>月</w:t>
            </w:r>
          </w:p>
        </w:tc>
        <w:tc>
          <w:tcPr>
            <w:tcW w:w="277" w:type="pct"/>
            <w:vAlign w:val="center"/>
          </w:tcPr>
          <w:p w14:paraId="591051AA"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12</w:t>
            </w:r>
            <w:r>
              <w:rPr>
                <w:rFonts w:cs="Times New Roman" w:hint="eastAsia"/>
                <w:kern w:val="0"/>
                <w:sz w:val="24"/>
                <w:szCs w:val="24"/>
              </w:rPr>
              <w:t>月</w:t>
            </w:r>
          </w:p>
        </w:tc>
        <w:tc>
          <w:tcPr>
            <w:tcW w:w="346" w:type="pct"/>
            <w:vAlign w:val="center"/>
          </w:tcPr>
          <w:p w14:paraId="6219CE15"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全年</w:t>
            </w:r>
          </w:p>
        </w:tc>
      </w:tr>
      <w:tr w:rsidR="00A739F2" w14:paraId="43AB31CA" w14:textId="77777777">
        <w:trPr>
          <w:cantSplit/>
          <w:trHeight w:val="170"/>
          <w:jc w:val="center"/>
        </w:trPr>
        <w:tc>
          <w:tcPr>
            <w:tcW w:w="702" w:type="pct"/>
            <w:vAlign w:val="center"/>
          </w:tcPr>
          <w:p w14:paraId="17E72E53"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月总辐射量</w:t>
            </w:r>
          </w:p>
        </w:tc>
        <w:tc>
          <w:tcPr>
            <w:tcW w:w="276" w:type="pct"/>
            <w:vAlign w:val="center"/>
          </w:tcPr>
          <w:p w14:paraId="1AE8EB17"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rPr>
              <w:t>280</w:t>
            </w:r>
          </w:p>
        </w:tc>
        <w:tc>
          <w:tcPr>
            <w:tcW w:w="346" w:type="pct"/>
            <w:vAlign w:val="center"/>
          </w:tcPr>
          <w:p w14:paraId="748F8906"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rPr>
              <w:t>353</w:t>
            </w:r>
          </w:p>
        </w:tc>
        <w:tc>
          <w:tcPr>
            <w:tcW w:w="346" w:type="pct"/>
            <w:vAlign w:val="center"/>
          </w:tcPr>
          <w:p w14:paraId="4188A9CF"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rPr>
              <w:t>523</w:t>
            </w:r>
          </w:p>
        </w:tc>
        <w:tc>
          <w:tcPr>
            <w:tcW w:w="346" w:type="pct"/>
            <w:vAlign w:val="center"/>
          </w:tcPr>
          <w:p w14:paraId="32E74324"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rPr>
              <w:t>596</w:t>
            </w:r>
          </w:p>
        </w:tc>
        <w:tc>
          <w:tcPr>
            <w:tcW w:w="346" w:type="pct"/>
            <w:vAlign w:val="center"/>
          </w:tcPr>
          <w:p w14:paraId="6D0786DB"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rPr>
              <w:t>666</w:t>
            </w:r>
          </w:p>
        </w:tc>
        <w:tc>
          <w:tcPr>
            <w:tcW w:w="346" w:type="pct"/>
            <w:vAlign w:val="center"/>
          </w:tcPr>
          <w:p w14:paraId="54CD6409"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rPr>
              <w:t>641</w:t>
            </w:r>
          </w:p>
        </w:tc>
        <w:tc>
          <w:tcPr>
            <w:tcW w:w="346" w:type="pct"/>
            <w:vAlign w:val="center"/>
          </w:tcPr>
          <w:p w14:paraId="66839D6F"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rPr>
              <w:t>631</w:t>
            </w:r>
          </w:p>
        </w:tc>
        <w:tc>
          <w:tcPr>
            <w:tcW w:w="346" w:type="pct"/>
            <w:vAlign w:val="center"/>
          </w:tcPr>
          <w:p w14:paraId="623BA84E"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rPr>
              <w:t>599</w:t>
            </w:r>
          </w:p>
        </w:tc>
        <w:tc>
          <w:tcPr>
            <w:tcW w:w="346" w:type="pct"/>
            <w:vAlign w:val="center"/>
          </w:tcPr>
          <w:p w14:paraId="25B49147"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rPr>
              <w:t>501</w:t>
            </w:r>
          </w:p>
        </w:tc>
        <w:tc>
          <w:tcPr>
            <w:tcW w:w="346" w:type="pct"/>
            <w:vAlign w:val="center"/>
          </w:tcPr>
          <w:p w14:paraId="1B361B93"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rPr>
              <w:t>398</w:t>
            </w:r>
          </w:p>
        </w:tc>
        <w:tc>
          <w:tcPr>
            <w:tcW w:w="277" w:type="pct"/>
            <w:vAlign w:val="center"/>
          </w:tcPr>
          <w:p w14:paraId="05CC9486"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rPr>
              <w:t>264</w:t>
            </w:r>
          </w:p>
        </w:tc>
        <w:tc>
          <w:tcPr>
            <w:tcW w:w="277" w:type="pct"/>
            <w:vAlign w:val="center"/>
          </w:tcPr>
          <w:p w14:paraId="146A7C0D"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rPr>
              <w:t>238</w:t>
            </w:r>
          </w:p>
        </w:tc>
        <w:tc>
          <w:tcPr>
            <w:tcW w:w="346" w:type="pct"/>
            <w:vAlign w:val="center"/>
          </w:tcPr>
          <w:p w14:paraId="5425A802"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rPr>
              <w:t>5691</w:t>
            </w:r>
          </w:p>
        </w:tc>
      </w:tr>
      <w:tr w:rsidR="00A739F2" w14:paraId="111C959F" w14:textId="77777777">
        <w:trPr>
          <w:cantSplit/>
          <w:trHeight w:val="170"/>
          <w:jc w:val="center"/>
        </w:trPr>
        <w:tc>
          <w:tcPr>
            <w:tcW w:w="702" w:type="pct"/>
            <w:vAlign w:val="center"/>
          </w:tcPr>
          <w:p w14:paraId="19A1DCCA"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天数</w:t>
            </w:r>
          </w:p>
        </w:tc>
        <w:tc>
          <w:tcPr>
            <w:tcW w:w="276" w:type="pct"/>
            <w:vAlign w:val="center"/>
          </w:tcPr>
          <w:p w14:paraId="719FF304"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lang w:val="en-AU"/>
              </w:rPr>
              <w:t>31</w:t>
            </w:r>
          </w:p>
        </w:tc>
        <w:tc>
          <w:tcPr>
            <w:tcW w:w="346" w:type="pct"/>
            <w:vAlign w:val="center"/>
          </w:tcPr>
          <w:p w14:paraId="203AE527"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lang w:val="en-AU"/>
              </w:rPr>
              <w:t>28</w:t>
            </w:r>
          </w:p>
        </w:tc>
        <w:tc>
          <w:tcPr>
            <w:tcW w:w="346" w:type="pct"/>
            <w:vAlign w:val="center"/>
          </w:tcPr>
          <w:p w14:paraId="0E75D706"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lang w:val="en-AU"/>
              </w:rPr>
              <w:t>31</w:t>
            </w:r>
          </w:p>
        </w:tc>
        <w:tc>
          <w:tcPr>
            <w:tcW w:w="346" w:type="pct"/>
            <w:vAlign w:val="center"/>
          </w:tcPr>
          <w:p w14:paraId="59C6AA17"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lang w:val="en-AU"/>
              </w:rPr>
              <w:t>30</w:t>
            </w:r>
          </w:p>
        </w:tc>
        <w:tc>
          <w:tcPr>
            <w:tcW w:w="346" w:type="pct"/>
            <w:vAlign w:val="center"/>
          </w:tcPr>
          <w:p w14:paraId="357814F0"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lang w:val="en-AU"/>
              </w:rPr>
              <w:t>31</w:t>
            </w:r>
          </w:p>
        </w:tc>
        <w:tc>
          <w:tcPr>
            <w:tcW w:w="346" w:type="pct"/>
            <w:vAlign w:val="center"/>
          </w:tcPr>
          <w:p w14:paraId="5AC81A32"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lang w:val="en-AU"/>
              </w:rPr>
              <w:t>30</w:t>
            </w:r>
          </w:p>
        </w:tc>
        <w:tc>
          <w:tcPr>
            <w:tcW w:w="346" w:type="pct"/>
            <w:vAlign w:val="center"/>
          </w:tcPr>
          <w:p w14:paraId="49A1D64B"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lang w:val="en-AU"/>
              </w:rPr>
              <w:t>31</w:t>
            </w:r>
          </w:p>
        </w:tc>
        <w:tc>
          <w:tcPr>
            <w:tcW w:w="346" w:type="pct"/>
            <w:vAlign w:val="center"/>
          </w:tcPr>
          <w:p w14:paraId="60A6C4D3"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lang w:val="en-AU"/>
              </w:rPr>
              <w:t>31</w:t>
            </w:r>
          </w:p>
        </w:tc>
        <w:tc>
          <w:tcPr>
            <w:tcW w:w="346" w:type="pct"/>
            <w:vAlign w:val="center"/>
          </w:tcPr>
          <w:p w14:paraId="78D9BAB9"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lang w:val="en-AU"/>
              </w:rPr>
              <w:t>30</w:t>
            </w:r>
          </w:p>
        </w:tc>
        <w:tc>
          <w:tcPr>
            <w:tcW w:w="346" w:type="pct"/>
            <w:vAlign w:val="center"/>
          </w:tcPr>
          <w:p w14:paraId="53DD56DF"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lang w:val="en-AU"/>
              </w:rPr>
              <w:t>31</w:t>
            </w:r>
          </w:p>
        </w:tc>
        <w:tc>
          <w:tcPr>
            <w:tcW w:w="277" w:type="pct"/>
            <w:vAlign w:val="center"/>
          </w:tcPr>
          <w:p w14:paraId="6D5A9907"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lang w:val="en-AU"/>
              </w:rPr>
              <w:t>30</w:t>
            </w:r>
          </w:p>
        </w:tc>
        <w:tc>
          <w:tcPr>
            <w:tcW w:w="277" w:type="pct"/>
            <w:vAlign w:val="center"/>
          </w:tcPr>
          <w:p w14:paraId="47AD9096"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lang w:val="en-AU"/>
              </w:rPr>
              <w:t>31</w:t>
            </w:r>
          </w:p>
        </w:tc>
        <w:tc>
          <w:tcPr>
            <w:tcW w:w="346" w:type="pct"/>
            <w:vAlign w:val="center"/>
          </w:tcPr>
          <w:p w14:paraId="6890ABD2" w14:textId="77777777" w:rsidR="00A739F2" w:rsidRDefault="00597D48">
            <w:pPr>
              <w:snapToGrid w:val="0"/>
              <w:ind w:firstLineChars="0" w:firstLine="0"/>
              <w:jc w:val="center"/>
              <w:rPr>
                <w:rFonts w:cs="Times New Roman"/>
                <w:kern w:val="0"/>
                <w:sz w:val="24"/>
                <w:szCs w:val="24"/>
                <w:lang w:val="en-AU"/>
              </w:rPr>
            </w:pPr>
            <w:r>
              <w:rPr>
                <w:rFonts w:cs="Times New Roman" w:hint="eastAsia"/>
                <w:kern w:val="0"/>
                <w:sz w:val="24"/>
                <w:szCs w:val="24"/>
                <w:lang w:val="en-AU"/>
              </w:rPr>
              <w:t>365</w:t>
            </w:r>
          </w:p>
        </w:tc>
      </w:tr>
      <w:tr w:rsidR="00A739F2" w14:paraId="3C87194B" w14:textId="77777777">
        <w:trPr>
          <w:cantSplit/>
          <w:trHeight w:val="170"/>
          <w:jc w:val="center"/>
        </w:trPr>
        <w:tc>
          <w:tcPr>
            <w:tcW w:w="702" w:type="pct"/>
            <w:vAlign w:val="center"/>
          </w:tcPr>
          <w:p w14:paraId="10A4B1AE" w14:textId="77777777" w:rsidR="00A739F2" w:rsidRDefault="00597D48">
            <w:pPr>
              <w:snapToGrid w:val="0"/>
              <w:ind w:firstLineChars="0" w:firstLine="0"/>
              <w:jc w:val="center"/>
              <w:rPr>
                <w:rFonts w:cs="Times New Roman"/>
                <w:kern w:val="0"/>
                <w:sz w:val="24"/>
                <w:szCs w:val="24"/>
              </w:rPr>
            </w:pPr>
            <w:r>
              <w:rPr>
                <w:rFonts w:cs="Times New Roman" w:hint="eastAsia"/>
                <w:kern w:val="0"/>
                <w:sz w:val="24"/>
                <w:szCs w:val="24"/>
              </w:rPr>
              <w:t>月平均日辐射量</w:t>
            </w:r>
          </w:p>
        </w:tc>
        <w:tc>
          <w:tcPr>
            <w:tcW w:w="276" w:type="pct"/>
            <w:vAlign w:val="center"/>
          </w:tcPr>
          <w:p w14:paraId="19412D8A" w14:textId="77777777" w:rsidR="00A739F2" w:rsidRDefault="00597D48">
            <w:pPr>
              <w:overflowPunct w:val="0"/>
              <w:snapToGrid w:val="0"/>
              <w:ind w:firstLineChars="0" w:firstLine="0"/>
              <w:jc w:val="right"/>
              <w:textAlignment w:val="center"/>
              <w:rPr>
                <w:rFonts w:cs="Times New Roman"/>
                <w:kern w:val="0"/>
                <w:sz w:val="24"/>
                <w:szCs w:val="24"/>
                <w:lang w:val="en-AU"/>
              </w:rPr>
            </w:pPr>
            <w:r>
              <w:rPr>
                <w:rFonts w:cs="Times New Roman"/>
                <w:color w:val="000000"/>
                <w:kern w:val="0"/>
                <w:sz w:val="24"/>
                <w:szCs w:val="24"/>
                <w:lang w:bidi="ar"/>
              </w:rPr>
              <w:t xml:space="preserve">9.0 </w:t>
            </w:r>
          </w:p>
        </w:tc>
        <w:tc>
          <w:tcPr>
            <w:tcW w:w="346" w:type="pct"/>
            <w:vAlign w:val="center"/>
          </w:tcPr>
          <w:p w14:paraId="747CCBFD" w14:textId="77777777" w:rsidR="00A739F2" w:rsidRDefault="00597D48">
            <w:pPr>
              <w:overflowPunct w:val="0"/>
              <w:snapToGrid w:val="0"/>
              <w:ind w:firstLineChars="0" w:firstLine="0"/>
              <w:jc w:val="right"/>
              <w:textAlignment w:val="center"/>
              <w:rPr>
                <w:rFonts w:cs="Times New Roman"/>
                <w:kern w:val="0"/>
                <w:sz w:val="24"/>
                <w:szCs w:val="24"/>
                <w:lang w:val="en-AU"/>
              </w:rPr>
            </w:pPr>
            <w:r>
              <w:rPr>
                <w:rFonts w:cs="Times New Roman"/>
                <w:color w:val="000000"/>
                <w:kern w:val="0"/>
                <w:sz w:val="24"/>
                <w:szCs w:val="24"/>
                <w:lang w:bidi="ar"/>
              </w:rPr>
              <w:t xml:space="preserve">12.6 </w:t>
            </w:r>
          </w:p>
        </w:tc>
        <w:tc>
          <w:tcPr>
            <w:tcW w:w="346" w:type="pct"/>
            <w:vAlign w:val="center"/>
          </w:tcPr>
          <w:p w14:paraId="72AAA656" w14:textId="77777777" w:rsidR="00A739F2" w:rsidRDefault="00597D48">
            <w:pPr>
              <w:overflowPunct w:val="0"/>
              <w:snapToGrid w:val="0"/>
              <w:ind w:firstLineChars="0" w:firstLine="0"/>
              <w:jc w:val="right"/>
              <w:textAlignment w:val="center"/>
              <w:rPr>
                <w:rFonts w:cs="Times New Roman"/>
                <w:kern w:val="0"/>
                <w:sz w:val="24"/>
                <w:szCs w:val="24"/>
                <w:lang w:val="en-AU"/>
              </w:rPr>
            </w:pPr>
            <w:r>
              <w:rPr>
                <w:rFonts w:cs="Times New Roman"/>
                <w:color w:val="000000"/>
                <w:kern w:val="0"/>
                <w:sz w:val="24"/>
                <w:szCs w:val="24"/>
                <w:lang w:bidi="ar"/>
              </w:rPr>
              <w:t xml:space="preserve">16.9 </w:t>
            </w:r>
          </w:p>
        </w:tc>
        <w:tc>
          <w:tcPr>
            <w:tcW w:w="346" w:type="pct"/>
            <w:vAlign w:val="center"/>
          </w:tcPr>
          <w:p w14:paraId="17BC3425" w14:textId="77777777" w:rsidR="00A739F2" w:rsidRDefault="00597D48">
            <w:pPr>
              <w:overflowPunct w:val="0"/>
              <w:snapToGrid w:val="0"/>
              <w:ind w:firstLineChars="0" w:firstLine="0"/>
              <w:jc w:val="right"/>
              <w:textAlignment w:val="center"/>
              <w:rPr>
                <w:rFonts w:cs="Times New Roman"/>
                <w:kern w:val="0"/>
                <w:sz w:val="24"/>
                <w:szCs w:val="24"/>
                <w:lang w:val="en-AU"/>
              </w:rPr>
            </w:pPr>
            <w:r>
              <w:rPr>
                <w:rFonts w:cs="Times New Roman"/>
                <w:color w:val="000000"/>
                <w:kern w:val="0"/>
                <w:sz w:val="24"/>
                <w:szCs w:val="24"/>
                <w:lang w:bidi="ar"/>
              </w:rPr>
              <w:t xml:space="preserve">19.9 </w:t>
            </w:r>
          </w:p>
        </w:tc>
        <w:tc>
          <w:tcPr>
            <w:tcW w:w="346" w:type="pct"/>
            <w:vAlign w:val="center"/>
          </w:tcPr>
          <w:p w14:paraId="2A292F82" w14:textId="77777777" w:rsidR="00A739F2" w:rsidRDefault="00597D48">
            <w:pPr>
              <w:overflowPunct w:val="0"/>
              <w:snapToGrid w:val="0"/>
              <w:ind w:firstLineChars="0" w:firstLine="0"/>
              <w:jc w:val="right"/>
              <w:textAlignment w:val="center"/>
              <w:rPr>
                <w:rFonts w:cs="Times New Roman"/>
                <w:kern w:val="0"/>
                <w:sz w:val="24"/>
                <w:szCs w:val="24"/>
                <w:lang w:val="en-AU"/>
              </w:rPr>
            </w:pPr>
            <w:r>
              <w:rPr>
                <w:rFonts w:cs="Times New Roman"/>
                <w:color w:val="000000"/>
                <w:kern w:val="0"/>
                <w:sz w:val="24"/>
                <w:szCs w:val="24"/>
                <w:lang w:bidi="ar"/>
              </w:rPr>
              <w:t xml:space="preserve">21.5 </w:t>
            </w:r>
          </w:p>
        </w:tc>
        <w:tc>
          <w:tcPr>
            <w:tcW w:w="346" w:type="pct"/>
            <w:vAlign w:val="center"/>
          </w:tcPr>
          <w:p w14:paraId="09104D52" w14:textId="77777777" w:rsidR="00A739F2" w:rsidRDefault="00597D48">
            <w:pPr>
              <w:overflowPunct w:val="0"/>
              <w:snapToGrid w:val="0"/>
              <w:ind w:firstLineChars="0" w:firstLine="0"/>
              <w:jc w:val="right"/>
              <w:textAlignment w:val="center"/>
              <w:rPr>
                <w:rFonts w:cs="Times New Roman"/>
                <w:kern w:val="0"/>
                <w:sz w:val="24"/>
                <w:szCs w:val="24"/>
                <w:lang w:val="en-AU"/>
              </w:rPr>
            </w:pPr>
            <w:r>
              <w:rPr>
                <w:rFonts w:cs="Times New Roman"/>
                <w:color w:val="000000"/>
                <w:kern w:val="0"/>
                <w:sz w:val="24"/>
                <w:szCs w:val="24"/>
                <w:lang w:bidi="ar"/>
              </w:rPr>
              <w:t xml:space="preserve">21.4 </w:t>
            </w:r>
          </w:p>
        </w:tc>
        <w:tc>
          <w:tcPr>
            <w:tcW w:w="346" w:type="pct"/>
            <w:vAlign w:val="center"/>
          </w:tcPr>
          <w:p w14:paraId="5172F404" w14:textId="77777777" w:rsidR="00A739F2" w:rsidRDefault="00597D48">
            <w:pPr>
              <w:overflowPunct w:val="0"/>
              <w:snapToGrid w:val="0"/>
              <w:ind w:firstLineChars="0" w:firstLine="0"/>
              <w:jc w:val="right"/>
              <w:textAlignment w:val="center"/>
              <w:rPr>
                <w:rFonts w:cs="Times New Roman"/>
                <w:kern w:val="0"/>
                <w:sz w:val="24"/>
                <w:szCs w:val="24"/>
                <w:lang w:val="en-AU"/>
              </w:rPr>
            </w:pPr>
            <w:r>
              <w:rPr>
                <w:rFonts w:cs="Times New Roman"/>
                <w:color w:val="000000"/>
                <w:kern w:val="0"/>
                <w:sz w:val="24"/>
                <w:szCs w:val="24"/>
                <w:lang w:bidi="ar"/>
              </w:rPr>
              <w:t xml:space="preserve">20.4 </w:t>
            </w:r>
          </w:p>
        </w:tc>
        <w:tc>
          <w:tcPr>
            <w:tcW w:w="346" w:type="pct"/>
            <w:vAlign w:val="center"/>
          </w:tcPr>
          <w:p w14:paraId="42082441" w14:textId="77777777" w:rsidR="00A739F2" w:rsidRDefault="00597D48">
            <w:pPr>
              <w:overflowPunct w:val="0"/>
              <w:snapToGrid w:val="0"/>
              <w:ind w:firstLineChars="0" w:firstLine="0"/>
              <w:jc w:val="right"/>
              <w:textAlignment w:val="center"/>
              <w:rPr>
                <w:rFonts w:cs="Times New Roman"/>
                <w:kern w:val="0"/>
                <w:sz w:val="24"/>
                <w:szCs w:val="24"/>
                <w:lang w:val="en-AU"/>
              </w:rPr>
            </w:pPr>
            <w:r>
              <w:rPr>
                <w:rFonts w:cs="Times New Roman"/>
                <w:color w:val="000000"/>
                <w:kern w:val="0"/>
                <w:sz w:val="24"/>
                <w:szCs w:val="24"/>
                <w:lang w:bidi="ar"/>
              </w:rPr>
              <w:t xml:space="preserve">19.3 </w:t>
            </w:r>
          </w:p>
        </w:tc>
        <w:tc>
          <w:tcPr>
            <w:tcW w:w="346" w:type="pct"/>
            <w:vAlign w:val="center"/>
          </w:tcPr>
          <w:p w14:paraId="4D63B38B" w14:textId="77777777" w:rsidR="00A739F2" w:rsidRDefault="00597D48">
            <w:pPr>
              <w:overflowPunct w:val="0"/>
              <w:snapToGrid w:val="0"/>
              <w:ind w:firstLineChars="0" w:firstLine="0"/>
              <w:jc w:val="right"/>
              <w:textAlignment w:val="center"/>
              <w:rPr>
                <w:rFonts w:cs="Times New Roman"/>
                <w:kern w:val="0"/>
                <w:sz w:val="24"/>
                <w:szCs w:val="24"/>
                <w:lang w:val="en-AU"/>
              </w:rPr>
            </w:pPr>
            <w:r>
              <w:rPr>
                <w:rFonts w:cs="Times New Roman"/>
                <w:color w:val="000000"/>
                <w:kern w:val="0"/>
                <w:sz w:val="24"/>
                <w:szCs w:val="24"/>
                <w:lang w:bidi="ar"/>
              </w:rPr>
              <w:t xml:space="preserve">16.7 </w:t>
            </w:r>
          </w:p>
        </w:tc>
        <w:tc>
          <w:tcPr>
            <w:tcW w:w="346" w:type="pct"/>
            <w:vAlign w:val="center"/>
          </w:tcPr>
          <w:p w14:paraId="04EBC4D9" w14:textId="77777777" w:rsidR="00A739F2" w:rsidRDefault="00597D48">
            <w:pPr>
              <w:overflowPunct w:val="0"/>
              <w:snapToGrid w:val="0"/>
              <w:ind w:firstLineChars="0" w:firstLine="0"/>
              <w:jc w:val="right"/>
              <w:textAlignment w:val="center"/>
              <w:rPr>
                <w:rFonts w:cs="Times New Roman"/>
                <w:kern w:val="0"/>
                <w:sz w:val="24"/>
                <w:szCs w:val="24"/>
                <w:lang w:val="en-AU"/>
              </w:rPr>
            </w:pPr>
            <w:r>
              <w:rPr>
                <w:rFonts w:cs="Times New Roman"/>
                <w:color w:val="000000"/>
                <w:kern w:val="0"/>
                <w:sz w:val="24"/>
                <w:szCs w:val="24"/>
                <w:lang w:bidi="ar"/>
              </w:rPr>
              <w:t xml:space="preserve">12.8 </w:t>
            </w:r>
          </w:p>
        </w:tc>
        <w:tc>
          <w:tcPr>
            <w:tcW w:w="277" w:type="pct"/>
            <w:vAlign w:val="center"/>
          </w:tcPr>
          <w:p w14:paraId="63EB7B24" w14:textId="77777777" w:rsidR="00A739F2" w:rsidRDefault="00597D48">
            <w:pPr>
              <w:overflowPunct w:val="0"/>
              <w:snapToGrid w:val="0"/>
              <w:ind w:firstLineChars="0" w:firstLine="0"/>
              <w:jc w:val="right"/>
              <w:textAlignment w:val="center"/>
              <w:rPr>
                <w:rFonts w:cs="Times New Roman"/>
                <w:kern w:val="0"/>
                <w:sz w:val="24"/>
                <w:szCs w:val="24"/>
                <w:lang w:val="en-AU"/>
              </w:rPr>
            </w:pPr>
            <w:r>
              <w:rPr>
                <w:rFonts w:cs="Times New Roman"/>
                <w:color w:val="000000"/>
                <w:kern w:val="0"/>
                <w:sz w:val="24"/>
                <w:szCs w:val="24"/>
                <w:lang w:bidi="ar"/>
              </w:rPr>
              <w:t xml:space="preserve">8.8 </w:t>
            </w:r>
          </w:p>
        </w:tc>
        <w:tc>
          <w:tcPr>
            <w:tcW w:w="277" w:type="pct"/>
            <w:vAlign w:val="center"/>
          </w:tcPr>
          <w:p w14:paraId="5BE00AC3" w14:textId="77777777" w:rsidR="00A739F2" w:rsidRDefault="00597D48">
            <w:pPr>
              <w:overflowPunct w:val="0"/>
              <w:snapToGrid w:val="0"/>
              <w:ind w:firstLineChars="0" w:firstLine="0"/>
              <w:jc w:val="right"/>
              <w:textAlignment w:val="center"/>
              <w:rPr>
                <w:rFonts w:cs="Times New Roman"/>
                <w:kern w:val="0"/>
                <w:sz w:val="24"/>
                <w:szCs w:val="24"/>
                <w:lang w:val="en-AU"/>
              </w:rPr>
            </w:pPr>
            <w:r>
              <w:rPr>
                <w:rFonts w:cs="Times New Roman"/>
                <w:color w:val="000000"/>
                <w:kern w:val="0"/>
                <w:sz w:val="24"/>
                <w:szCs w:val="24"/>
                <w:lang w:bidi="ar"/>
              </w:rPr>
              <w:t xml:space="preserve">7.7 </w:t>
            </w:r>
          </w:p>
        </w:tc>
        <w:tc>
          <w:tcPr>
            <w:tcW w:w="346" w:type="pct"/>
            <w:vAlign w:val="center"/>
          </w:tcPr>
          <w:p w14:paraId="3D09D041" w14:textId="77777777" w:rsidR="00A739F2" w:rsidRDefault="00597D48">
            <w:pPr>
              <w:overflowPunct w:val="0"/>
              <w:snapToGrid w:val="0"/>
              <w:ind w:firstLineChars="0" w:firstLine="0"/>
              <w:jc w:val="right"/>
              <w:textAlignment w:val="center"/>
              <w:rPr>
                <w:rFonts w:cs="Times New Roman"/>
                <w:kern w:val="0"/>
                <w:sz w:val="24"/>
                <w:szCs w:val="24"/>
                <w:lang w:val="en-AU"/>
              </w:rPr>
            </w:pPr>
            <w:r>
              <w:rPr>
                <w:rFonts w:cs="Times New Roman"/>
                <w:color w:val="000000"/>
                <w:kern w:val="0"/>
                <w:sz w:val="24"/>
                <w:szCs w:val="24"/>
                <w:lang w:bidi="ar"/>
              </w:rPr>
              <w:t xml:space="preserve">15.6 </w:t>
            </w:r>
          </w:p>
        </w:tc>
      </w:tr>
    </w:tbl>
    <w:p w14:paraId="25E21742" w14:textId="77777777" w:rsidR="00A739F2" w:rsidRDefault="00597D48">
      <w:pPr>
        <w:rPr>
          <w:rFonts w:cs="方正仿宋_GB2312"/>
        </w:rPr>
      </w:pPr>
      <w:r>
        <w:rPr>
          <w:rFonts w:cs="方正仿宋_GB2312" w:hint="eastAsia"/>
        </w:rPr>
        <w:lastRenderedPageBreak/>
        <w:t>太阳能资源直射比等级是指水平面直接辐照量在水平面总辐照量中所占的比例。根据《太阳能资源评估方法》（</w:t>
      </w:r>
      <w:r>
        <w:rPr>
          <w:rFonts w:cs="方正仿宋_GB2312" w:hint="eastAsia"/>
        </w:rPr>
        <w:t>GBT37526-2019</w:t>
      </w:r>
      <w:r>
        <w:rPr>
          <w:rFonts w:cs="方正仿宋_GB2312" w:hint="eastAsia"/>
        </w:rPr>
        <w:t>）的直射比等级划分，其分为四个等级：直接辐射占主导（</w:t>
      </w:r>
      <w:r>
        <w:rPr>
          <w:rFonts w:cs="方正仿宋_GB2312" w:hint="eastAsia"/>
        </w:rPr>
        <w:t>A</w:t>
      </w:r>
      <w:r>
        <w:rPr>
          <w:rFonts w:cs="方正仿宋_GB2312" w:hint="eastAsia"/>
        </w:rPr>
        <w:t>）、直接辐射较多（</w:t>
      </w:r>
      <w:r>
        <w:rPr>
          <w:rFonts w:cs="方正仿宋_GB2312" w:hint="eastAsia"/>
        </w:rPr>
        <w:t>B</w:t>
      </w:r>
      <w:r>
        <w:rPr>
          <w:rFonts w:cs="方正仿宋_GB2312" w:hint="eastAsia"/>
        </w:rPr>
        <w:t>）、散射辐射较多（</w:t>
      </w:r>
      <w:r>
        <w:rPr>
          <w:rFonts w:cs="方正仿宋_GB2312" w:hint="eastAsia"/>
        </w:rPr>
        <w:t>C</w:t>
      </w:r>
      <w:r>
        <w:rPr>
          <w:rFonts w:cs="方正仿宋_GB2312" w:hint="eastAsia"/>
        </w:rPr>
        <w:t>）、散射辐射主导（</w:t>
      </w:r>
      <w:r>
        <w:rPr>
          <w:rFonts w:cs="方正仿宋_GB2312" w:hint="eastAsia"/>
        </w:rPr>
        <w:t>D</w:t>
      </w:r>
      <w:r>
        <w:rPr>
          <w:rFonts w:cs="方正仿宋_GB2312" w:hint="eastAsia"/>
        </w:rPr>
        <w:t>）。划分标准如下表：</w:t>
      </w:r>
    </w:p>
    <w:p w14:paraId="6DA2FD9D" w14:textId="77777777" w:rsidR="00A739F2" w:rsidRDefault="00597D48">
      <w:pPr>
        <w:keepNext/>
        <w:spacing w:line="360" w:lineRule="auto"/>
        <w:ind w:firstLineChars="0" w:firstLine="0"/>
        <w:jc w:val="center"/>
        <w:rPr>
          <w:rFonts w:cs="Times New Roman"/>
          <w:b/>
          <w:kern w:val="0"/>
          <w:sz w:val="28"/>
          <w:szCs w:val="28"/>
          <w:lang w:val="en-AU"/>
        </w:rPr>
      </w:pPr>
      <w:r>
        <w:rPr>
          <w:rFonts w:cs="Times New Roman" w:hint="eastAsia"/>
          <w:b/>
          <w:kern w:val="0"/>
          <w:sz w:val="28"/>
          <w:szCs w:val="28"/>
          <w:lang w:val="en-AU"/>
        </w:rPr>
        <w:t>表</w:t>
      </w:r>
      <w:r>
        <w:rPr>
          <w:rFonts w:cs="Times New Roman" w:hint="eastAsia"/>
          <w:b/>
          <w:kern w:val="0"/>
          <w:sz w:val="28"/>
          <w:szCs w:val="28"/>
        </w:rPr>
        <w:t>3.3</w:t>
      </w:r>
      <w:r>
        <w:rPr>
          <w:rFonts w:cs="Times New Roman"/>
          <w:b/>
          <w:kern w:val="0"/>
          <w:sz w:val="28"/>
          <w:szCs w:val="28"/>
          <w:lang w:val="en-AU"/>
        </w:rPr>
        <w:t>-</w:t>
      </w:r>
      <w:r>
        <w:rPr>
          <w:rFonts w:cs="Times New Roman" w:hint="eastAsia"/>
          <w:b/>
          <w:kern w:val="0"/>
          <w:sz w:val="28"/>
          <w:szCs w:val="28"/>
        </w:rPr>
        <w:t>7</w:t>
      </w:r>
      <w:r>
        <w:rPr>
          <w:rFonts w:cs="Times New Roman"/>
          <w:b/>
          <w:kern w:val="0"/>
          <w:sz w:val="28"/>
          <w:szCs w:val="28"/>
          <w:lang w:val="en-AU"/>
        </w:rPr>
        <w:t xml:space="preserve"> </w:t>
      </w:r>
      <w:r>
        <w:rPr>
          <w:rFonts w:cs="Times New Roman"/>
          <w:b/>
          <w:kern w:val="0"/>
          <w:sz w:val="28"/>
          <w:szCs w:val="28"/>
          <w:lang w:val="en-AU"/>
        </w:rPr>
        <w:t>太阳能资源直射比（</w:t>
      </w:r>
      <w:r>
        <w:rPr>
          <w:rFonts w:cs="Times New Roman"/>
          <w:b/>
          <w:kern w:val="0"/>
          <w:sz w:val="28"/>
          <w:szCs w:val="28"/>
          <w:lang w:val="en-AU"/>
        </w:rPr>
        <w:t>DHRR</w:t>
      </w:r>
      <w:r>
        <w:rPr>
          <w:rFonts w:cs="Times New Roman"/>
          <w:b/>
          <w:kern w:val="0"/>
          <w:sz w:val="28"/>
          <w:szCs w:val="28"/>
          <w:lang w:val="en-AU"/>
        </w:rPr>
        <w:t>）等级</w:t>
      </w:r>
    </w:p>
    <w:tbl>
      <w:tblPr>
        <w:tblW w:w="5000" w:type="pct"/>
        <w:jc w:val="center"/>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2262"/>
        <w:gridCol w:w="2265"/>
        <w:gridCol w:w="2265"/>
        <w:gridCol w:w="2269"/>
      </w:tblGrid>
      <w:tr w:rsidR="00A739F2" w14:paraId="6CECDBBB" w14:textId="77777777">
        <w:trPr>
          <w:trHeight w:val="170"/>
          <w:jc w:val="center"/>
        </w:trPr>
        <w:tc>
          <w:tcPr>
            <w:tcW w:w="1248" w:type="pct"/>
          </w:tcPr>
          <w:p w14:paraId="20E86A8C" w14:textId="77777777" w:rsidR="00A739F2" w:rsidRDefault="00597D48">
            <w:pPr>
              <w:keepNext/>
              <w:snapToGrid w:val="0"/>
              <w:ind w:firstLineChars="0" w:firstLine="0"/>
              <w:jc w:val="center"/>
              <w:rPr>
                <w:rFonts w:cs="Times New Roman"/>
                <w:kern w:val="0"/>
                <w:sz w:val="28"/>
                <w:szCs w:val="28"/>
              </w:rPr>
            </w:pPr>
            <w:r>
              <w:rPr>
                <w:rFonts w:cs="Times New Roman" w:hint="eastAsia"/>
                <w:kern w:val="0"/>
                <w:sz w:val="28"/>
                <w:szCs w:val="28"/>
              </w:rPr>
              <w:t>等级名称</w:t>
            </w:r>
          </w:p>
        </w:tc>
        <w:tc>
          <w:tcPr>
            <w:tcW w:w="1250" w:type="pct"/>
          </w:tcPr>
          <w:p w14:paraId="0F4C2FBD" w14:textId="77777777" w:rsidR="00A739F2" w:rsidRDefault="00597D48">
            <w:pPr>
              <w:keepNext/>
              <w:snapToGrid w:val="0"/>
              <w:ind w:firstLineChars="0" w:firstLine="0"/>
              <w:jc w:val="center"/>
              <w:rPr>
                <w:rFonts w:cs="Times New Roman"/>
                <w:kern w:val="0"/>
                <w:sz w:val="28"/>
                <w:szCs w:val="28"/>
              </w:rPr>
            </w:pPr>
            <w:r>
              <w:rPr>
                <w:rFonts w:cs="Times New Roman" w:hint="eastAsia"/>
                <w:kern w:val="0"/>
                <w:sz w:val="28"/>
                <w:szCs w:val="28"/>
              </w:rPr>
              <w:t>分级阈值</w:t>
            </w:r>
          </w:p>
        </w:tc>
        <w:tc>
          <w:tcPr>
            <w:tcW w:w="1250" w:type="pct"/>
          </w:tcPr>
          <w:p w14:paraId="78D025F2" w14:textId="77777777" w:rsidR="00A739F2" w:rsidRDefault="00597D48">
            <w:pPr>
              <w:keepNext/>
              <w:snapToGrid w:val="0"/>
              <w:ind w:firstLineChars="0" w:firstLine="0"/>
              <w:jc w:val="center"/>
              <w:rPr>
                <w:rFonts w:cs="Times New Roman"/>
                <w:kern w:val="0"/>
                <w:sz w:val="28"/>
                <w:szCs w:val="28"/>
              </w:rPr>
            </w:pPr>
            <w:r>
              <w:rPr>
                <w:rFonts w:cs="Times New Roman" w:hint="eastAsia"/>
                <w:kern w:val="0"/>
                <w:sz w:val="28"/>
                <w:szCs w:val="28"/>
              </w:rPr>
              <w:t>等级符号</w:t>
            </w:r>
          </w:p>
        </w:tc>
        <w:tc>
          <w:tcPr>
            <w:tcW w:w="1250" w:type="pct"/>
          </w:tcPr>
          <w:p w14:paraId="644CAF45" w14:textId="77777777" w:rsidR="00A739F2" w:rsidRDefault="00597D48">
            <w:pPr>
              <w:keepNext/>
              <w:snapToGrid w:val="0"/>
              <w:ind w:firstLineChars="0" w:firstLine="0"/>
              <w:jc w:val="center"/>
              <w:rPr>
                <w:rFonts w:cs="Times New Roman"/>
                <w:kern w:val="0"/>
                <w:sz w:val="28"/>
                <w:szCs w:val="28"/>
              </w:rPr>
            </w:pPr>
            <w:r>
              <w:rPr>
                <w:rFonts w:cs="Times New Roman" w:hint="eastAsia"/>
                <w:kern w:val="0"/>
                <w:sz w:val="28"/>
                <w:szCs w:val="28"/>
              </w:rPr>
              <w:t>等级说明</w:t>
            </w:r>
          </w:p>
        </w:tc>
      </w:tr>
      <w:tr w:rsidR="00A739F2" w14:paraId="1322CF09" w14:textId="77777777">
        <w:trPr>
          <w:trHeight w:val="170"/>
          <w:jc w:val="center"/>
        </w:trPr>
        <w:tc>
          <w:tcPr>
            <w:tcW w:w="1248" w:type="pct"/>
          </w:tcPr>
          <w:p w14:paraId="55B683D4"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很高</w:t>
            </w:r>
          </w:p>
        </w:tc>
        <w:tc>
          <w:tcPr>
            <w:tcW w:w="1250" w:type="pct"/>
          </w:tcPr>
          <w:p w14:paraId="55EC2F43"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DHRR</w:t>
            </w:r>
            <w:r>
              <w:rPr>
                <w:rFonts w:cs="Times New Roman" w:hint="eastAsia"/>
                <w:kern w:val="0"/>
                <w:sz w:val="28"/>
                <w:szCs w:val="28"/>
              </w:rPr>
              <w:t>≥</w:t>
            </w:r>
            <w:r>
              <w:rPr>
                <w:rFonts w:cs="Times New Roman" w:hint="eastAsia"/>
                <w:kern w:val="0"/>
                <w:sz w:val="28"/>
                <w:szCs w:val="28"/>
              </w:rPr>
              <w:t>0.6</w:t>
            </w:r>
          </w:p>
        </w:tc>
        <w:tc>
          <w:tcPr>
            <w:tcW w:w="1250" w:type="pct"/>
          </w:tcPr>
          <w:p w14:paraId="60DDEF9C"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A</w:t>
            </w:r>
          </w:p>
        </w:tc>
        <w:tc>
          <w:tcPr>
            <w:tcW w:w="1250" w:type="pct"/>
          </w:tcPr>
          <w:p w14:paraId="3D3E1E72"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直接辐射主导</w:t>
            </w:r>
          </w:p>
        </w:tc>
      </w:tr>
      <w:tr w:rsidR="00A739F2" w14:paraId="233D6CF3" w14:textId="77777777">
        <w:trPr>
          <w:trHeight w:val="170"/>
          <w:jc w:val="center"/>
        </w:trPr>
        <w:tc>
          <w:tcPr>
            <w:tcW w:w="1248" w:type="pct"/>
          </w:tcPr>
          <w:p w14:paraId="396D5B05"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高</w:t>
            </w:r>
          </w:p>
        </w:tc>
        <w:tc>
          <w:tcPr>
            <w:tcW w:w="1250" w:type="pct"/>
          </w:tcPr>
          <w:p w14:paraId="3349A4FC"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0.5</w:t>
            </w:r>
            <w:r>
              <w:rPr>
                <w:rFonts w:cs="Times New Roman" w:hint="eastAsia"/>
                <w:kern w:val="0"/>
                <w:sz w:val="28"/>
                <w:szCs w:val="28"/>
              </w:rPr>
              <w:t>≤</w:t>
            </w:r>
            <w:r>
              <w:rPr>
                <w:rFonts w:cs="Times New Roman" w:hint="eastAsia"/>
                <w:kern w:val="0"/>
                <w:sz w:val="28"/>
                <w:szCs w:val="28"/>
              </w:rPr>
              <w:t>RW</w:t>
            </w:r>
            <w:r>
              <w:rPr>
                <w:rFonts w:cs="Times New Roman" w:hint="eastAsia"/>
                <w:kern w:val="0"/>
                <w:sz w:val="28"/>
                <w:szCs w:val="28"/>
              </w:rPr>
              <w:t>＜</w:t>
            </w:r>
            <w:r>
              <w:rPr>
                <w:rFonts w:cs="Times New Roman" w:hint="eastAsia"/>
                <w:kern w:val="0"/>
                <w:sz w:val="28"/>
                <w:szCs w:val="28"/>
              </w:rPr>
              <w:t>0.6</w:t>
            </w:r>
          </w:p>
        </w:tc>
        <w:tc>
          <w:tcPr>
            <w:tcW w:w="1250" w:type="pct"/>
          </w:tcPr>
          <w:p w14:paraId="2B4B2D0B"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B</w:t>
            </w:r>
          </w:p>
        </w:tc>
        <w:tc>
          <w:tcPr>
            <w:tcW w:w="1250" w:type="pct"/>
          </w:tcPr>
          <w:p w14:paraId="7E0BBC22"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直接辐射较多</w:t>
            </w:r>
          </w:p>
        </w:tc>
      </w:tr>
      <w:tr w:rsidR="00A739F2" w14:paraId="2CEC715B" w14:textId="77777777">
        <w:trPr>
          <w:trHeight w:val="170"/>
          <w:jc w:val="center"/>
        </w:trPr>
        <w:tc>
          <w:tcPr>
            <w:tcW w:w="1248" w:type="pct"/>
          </w:tcPr>
          <w:p w14:paraId="06895EDA"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中</w:t>
            </w:r>
          </w:p>
        </w:tc>
        <w:tc>
          <w:tcPr>
            <w:tcW w:w="1250" w:type="pct"/>
          </w:tcPr>
          <w:p w14:paraId="5F0889FD"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0.35</w:t>
            </w:r>
            <w:r>
              <w:rPr>
                <w:rFonts w:cs="Times New Roman" w:hint="eastAsia"/>
                <w:kern w:val="0"/>
                <w:sz w:val="28"/>
                <w:szCs w:val="28"/>
              </w:rPr>
              <w:t>≤</w:t>
            </w:r>
            <w:r>
              <w:rPr>
                <w:rFonts w:cs="Times New Roman" w:hint="eastAsia"/>
                <w:kern w:val="0"/>
                <w:sz w:val="28"/>
                <w:szCs w:val="28"/>
              </w:rPr>
              <w:t>RW</w:t>
            </w:r>
            <w:r>
              <w:rPr>
                <w:rFonts w:cs="Times New Roman" w:hint="eastAsia"/>
                <w:kern w:val="0"/>
                <w:sz w:val="28"/>
                <w:szCs w:val="28"/>
              </w:rPr>
              <w:t>＜</w:t>
            </w:r>
            <w:r>
              <w:rPr>
                <w:rFonts w:cs="Times New Roman" w:hint="eastAsia"/>
                <w:kern w:val="0"/>
                <w:sz w:val="28"/>
                <w:szCs w:val="28"/>
              </w:rPr>
              <w:t>0.5</w:t>
            </w:r>
          </w:p>
        </w:tc>
        <w:tc>
          <w:tcPr>
            <w:tcW w:w="1250" w:type="pct"/>
          </w:tcPr>
          <w:p w14:paraId="65A2A2F9"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C</w:t>
            </w:r>
          </w:p>
        </w:tc>
        <w:tc>
          <w:tcPr>
            <w:tcW w:w="1250" w:type="pct"/>
          </w:tcPr>
          <w:p w14:paraId="2B531229"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散射辐射较多</w:t>
            </w:r>
          </w:p>
        </w:tc>
      </w:tr>
      <w:tr w:rsidR="00A739F2" w14:paraId="17E71052" w14:textId="77777777">
        <w:trPr>
          <w:trHeight w:val="170"/>
          <w:jc w:val="center"/>
        </w:trPr>
        <w:tc>
          <w:tcPr>
            <w:tcW w:w="1248" w:type="pct"/>
          </w:tcPr>
          <w:p w14:paraId="05C58E52"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低</w:t>
            </w:r>
          </w:p>
        </w:tc>
        <w:tc>
          <w:tcPr>
            <w:tcW w:w="1250" w:type="pct"/>
          </w:tcPr>
          <w:p w14:paraId="06F1A69A"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RW</w:t>
            </w:r>
            <w:r>
              <w:rPr>
                <w:rFonts w:cs="Times New Roman" w:hint="eastAsia"/>
                <w:kern w:val="0"/>
                <w:sz w:val="28"/>
                <w:szCs w:val="28"/>
              </w:rPr>
              <w:t>＜</w:t>
            </w:r>
            <w:r>
              <w:rPr>
                <w:rFonts w:cs="Times New Roman" w:hint="eastAsia"/>
                <w:kern w:val="0"/>
                <w:sz w:val="28"/>
                <w:szCs w:val="28"/>
              </w:rPr>
              <w:t>0.35</w:t>
            </w:r>
          </w:p>
        </w:tc>
        <w:tc>
          <w:tcPr>
            <w:tcW w:w="1250" w:type="pct"/>
          </w:tcPr>
          <w:p w14:paraId="7F910801"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D</w:t>
            </w:r>
          </w:p>
        </w:tc>
        <w:tc>
          <w:tcPr>
            <w:tcW w:w="1250" w:type="pct"/>
          </w:tcPr>
          <w:p w14:paraId="79ED190D" w14:textId="77777777" w:rsidR="00A739F2" w:rsidRDefault="00597D48">
            <w:pPr>
              <w:snapToGrid w:val="0"/>
              <w:ind w:firstLineChars="0" w:firstLine="0"/>
              <w:jc w:val="center"/>
              <w:rPr>
                <w:rFonts w:cs="Times New Roman"/>
                <w:kern w:val="0"/>
                <w:sz w:val="28"/>
                <w:szCs w:val="28"/>
              </w:rPr>
            </w:pPr>
            <w:r>
              <w:rPr>
                <w:rFonts w:cs="Times New Roman" w:hint="eastAsia"/>
                <w:kern w:val="0"/>
                <w:sz w:val="28"/>
                <w:szCs w:val="28"/>
              </w:rPr>
              <w:t>散射辐射主导</w:t>
            </w:r>
          </w:p>
        </w:tc>
      </w:tr>
      <w:tr w:rsidR="00A739F2" w14:paraId="74B7F294" w14:textId="77777777">
        <w:trPr>
          <w:trHeight w:val="170"/>
          <w:jc w:val="center"/>
        </w:trPr>
        <w:tc>
          <w:tcPr>
            <w:tcW w:w="5000" w:type="pct"/>
            <w:gridSpan w:val="4"/>
          </w:tcPr>
          <w:p w14:paraId="1669D25D" w14:textId="77777777" w:rsidR="00A739F2" w:rsidRDefault="00597D48">
            <w:pPr>
              <w:snapToGrid w:val="0"/>
              <w:ind w:firstLineChars="0" w:firstLine="0"/>
              <w:jc w:val="left"/>
              <w:rPr>
                <w:rFonts w:cs="Times New Roman"/>
                <w:kern w:val="0"/>
                <w:sz w:val="28"/>
                <w:szCs w:val="28"/>
              </w:rPr>
            </w:pPr>
            <w:r>
              <w:rPr>
                <w:rFonts w:cs="Times New Roman" w:hint="eastAsia"/>
                <w:kern w:val="0"/>
                <w:sz w:val="28"/>
                <w:szCs w:val="28"/>
              </w:rPr>
              <w:t>注：</w:t>
            </w:r>
            <w:r>
              <w:rPr>
                <w:rFonts w:cs="Times New Roman" w:hint="eastAsia"/>
                <w:kern w:val="0"/>
                <w:sz w:val="28"/>
                <w:szCs w:val="28"/>
              </w:rPr>
              <w:t>DHRR</w:t>
            </w:r>
            <w:r>
              <w:rPr>
                <w:rFonts w:cs="Times New Roman" w:hint="eastAsia"/>
                <w:kern w:val="0"/>
                <w:sz w:val="28"/>
                <w:szCs w:val="28"/>
              </w:rPr>
              <w:t>表示直射比，计算</w:t>
            </w:r>
            <w:r>
              <w:rPr>
                <w:rFonts w:cs="Times New Roman" w:hint="eastAsia"/>
                <w:kern w:val="0"/>
                <w:sz w:val="28"/>
                <w:szCs w:val="28"/>
              </w:rPr>
              <w:t>DHRR</w:t>
            </w:r>
            <w:r>
              <w:rPr>
                <w:rFonts w:cs="Times New Roman" w:hint="eastAsia"/>
                <w:kern w:val="0"/>
                <w:sz w:val="28"/>
                <w:szCs w:val="28"/>
              </w:rPr>
              <w:t>时，首先计算代表年水平面直接辐照量和总辐照量，然后求二者之比。</w:t>
            </w:r>
          </w:p>
        </w:tc>
      </w:tr>
    </w:tbl>
    <w:p w14:paraId="4FE20BD4" w14:textId="77777777" w:rsidR="00A739F2" w:rsidRDefault="00597D48">
      <w:pPr>
        <w:rPr>
          <w:rFonts w:cs="方正仿宋_GB2312"/>
        </w:rPr>
      </w:pPr>
      <w:r>
        <w:rPr>
          <w:rFonts w:cs="方正仿宋_GB2312" w:hint="eastAsia"/>
        </w:rPr>
        <w:t>基于</w:t>
      </w:r>
      <w:r>
        <w:rPr>
          <w:rFonts w:cs="方正仿宋_GB2312" w:hint="eastAsia"/>
        </w:rPr>
        <w:t>GB/T 37526-2019</w:t>
      </w:r>
      <w:r>
        <w:rPr>
          <w:rFonts w:cs="方正仿宋_GB2312" w:hint="eastAsia"/>
        </w:rPr>
        <w:t>《太阳能资源评估方法》的直射比等级划分标准，利用</w:t>
      </w:r>
      <w:proofErr w:type="spellStart"/>
      <w:r>
        <w:rPr>
          <w:rFonts w:cs="方正仿宋_GB2312" w:hint="eastAsia"/>
        </w:rPr>
        <w:t>Solargis</w:t>
      </w:r>
      <w:proofErr w:type="spellEnd"/>
      <w:r>
        <w:rPr>
          <w:rFonts w:cs="方正仿宋_GB2312" w:hint="eastAsia"/>
        </w:rPr>
        <w:t>数据库数据可知，康巴什区年水平面直接辐照量为</w:t>
      </w:r>
      <w:r>
        <w:rPr>
          <w:rFonts w:cs="方正仿宋_GB2312" w:hint="eastAsia"/>
        </w:rPr>
        <w:t>3561.84MJ/m</w:t>
      </w:r>
      <w:r>
        <w:rPr>
          <w:rFonts w:cs="方正仿宋_GB2312" w:hint="eastAsia"/>
          <w:vertAlign w:val="superscript"/>
        </w:rPr>
        <w:t>2</w:t>
      </w:r>
      <w:r>
        <w:rPr>
          <w:rFonts w:cs="方正仿宋_GB2312" w:hint="eastAsia"/>
        </w:rPr>
        <w:t>，年总辐照量为</w:t>
      </w:r>
      <w:r>
        <w:rPr>
          <w:rFonts w:cs="方正仿宋_GB2312" w:hint="eastAsia"/>
        </w:rPr>
        <w:t>5881.68MJ/m</w:t>
      </w:r>
      <w:r>
        <w:rPr>
          <w:rFonts w:cs="方正仿宋_GB2312" w:hint="eastAsia"/>
          <w:vertAlign w:val="superscript"/>
        </w:rPr>
        <w:t>2</w:t>
      </w:r>
      <w:r>
        <w:rPr>
          <w:rFonts w:cs="方正仿宋_GB2312" w:hint="eastAsia"/>
        </w:rPr>
        <w:t>，计算得到太阳能资源直射比为</w:t>
      </w:r>
      <w:r>
        <w:rPr>
          <w:rFonts w:cs="方正仿宋_GB2312" w:hint="eastAsia"/>
        </w:rPr>
        <w:t>0.61</w:t>
      </w:r>
      <w:r>
        <w:rPr>
          <w:rFonts w:cs="方正仿宋_GB2312" w:hint="eastAsia"/>
        </w:rPr>
        <w:t>。根据直射比等级划分，光伏场址区域直射</w:t>
      </w:r>
      <w:proofErr w:type="gramStart"/>
      <w:r>
        <w:rPr>
          <w:rFonts w:cs="方正仿宋_GB2312" w:hint="eastAsia"/>
        </w:rPr>
        <w:t>比属于</w:t>
      </w:r>
      <w:proofErr w:type="gramEnd"/>
      <w:r>
        <w:rPr>
          <w:rFonts w:cs="方正仿宋_GB2312" w:hint="eastAsia"/>
        </w:rPr>
        <w:t>很高级，该区域直接辐射较多，有利于光伏电站的开发。</w:t>
      </w:r>
    </w:p>
    <w:p w14:paraId="2DECABCB" w14:textId="77777777" w:rsidR="00A739F2" w:rsidRDefault="00597D48">
      <w:r>
        <w:rPr>
          <w:rFonts w:cs="方正仿宋_GB2312" w:hint="eastAsia"/>
        </w:rPr>
        <w:t>从以上分析可知，采用</w:t>
      </w:r>
      <w:proofErr w:type="spellStart"/>
      <w:r>
        <w:rPr>
          <w:rFonts w:cs="方正仿宋_GB2312" w:hint="eastAsia"/>
        </w:rPr>
        <w:t>Solargis</w:t>
      </w:r>
      <w:proofErr w:type="spellEnd"/>
      <w:r>
        <w:rPr>
          <w:rFonts w:cs="方正仿宋_GB2312" w:hint="eastAsia"/>
        </w:rPr>
        <w:t>数据库辐射量，规划区域光伏电站年平均太阳辐射量为</w:t>
      </w:r>
      <w:r>
        <w:rPr>
          <w:rFonts w:cs="方正仿宋_GB2312" w:hint="eastAsia"/>
        </w:rPr>
        <w:t>5881.68MJ/m</w:t>
      </w:r>
      <w:r>
        <w:rPr>
          <w:rFonts w:cs="方正仿宋_GB2312" w:hint="eastAsia"/>
          <w:vertAlign w:val="superscript"/>
        </w:rPr>
        <w:t>2</w:t>
      </w:r>
      <w:r>
        <w:rPr>
          <w:rFonts w:cs="方正仿宋_GB2312" w:hint="eastAsia"/>
        </w:rPr>
        <w:t>，水平面散射辐射</w:t>
      </w:r>
      <w:r>
        <w:rPr>
          <w:rFonts w:cs="方正仿宋_GB2312" w:hint="eastAsia"/>
        </w:rPr>
        <w:lastRenderedPageBreak/>
        <w:t>2319.84MJ/m</w:t>
      </w:r>
      <w:r>
        <w:rPr>
          <w:rFonts w:cs="方正仿宋_GB2312" w:hint="eastAsia"/>
          <w:vertAlign w:val="superscript"/>
        </w:rPr>
        <w:t>2</w:t>
      </w:r>
      <w:r>
        <w:rPr>
          <w:rFonts w:cs="方正仿宋_GB2312" w:hint="eastAsia"/>
        </w:rPr>
        <w:t>，根据《太阳能资源等级总辐射》（</w:t>
      </w:r>
      <w:r>
        <w:rPr>
          <w:rFonts w:cs="方正仿宋_GB2312" w:hint="eastAsia"/>
        </w:rPr>
        <w:t>GB/T 31155-2014</w:t>
      </w:r>
      <w:r>
        <w:rPr>
          <w:rFonts w:cs="方正仿宋_GB2312" w:hint="eastAsia"/>
        </w:rPr>
        <w:t>）、《太阳能资源评估方法》（</w:t>
      </w:r>
      <w:r>
        <w:rPr>
          <w:rFonts w:cs="方正仿宋_GB2312" w:hint="eastAsia"/>
        </w:rPr>
        <w:t>GB/T 37526-2019</w:t>
      </w:r>
      <w:r>
        <w:rPr>
          <w:rFonts w:cs="方正仿宋_GB2312" w:hint="eastAsia"/>
        </w:rPr>
        <w:t>）等级划分，场址区域属于全国太阳能资源</w:t>
      </w:r>
      <w:r>
        <w:rPr>
          <w:rFonts w:cs="方正仿宋_GB2312" w:hint="eastAsia"/>
        </w:rPr>
        <w:t>B</w:t>
      </w:r>
      <w:r>
        <w:rPr>
          <w:rFonts w:cs="方正仿宋_GB2312" w:hint="eastAsia"/>
        </w:rPr>
        <w:t>类地区（资源很丰富区）。该地区夏季辐射强，冬季辐射弱，太阳能资源稳定度</w:t>
      </w:r>
      <w:r>
        <w:rPr>
          <w:rFonts w:cs="方正仿宋_GB2312" w:hint="eastAsia"/>
        </w:rPr>
        <w:t>G</w:t>
      </w:r>
      <w:r>
        <w:rPr>
          <w:rFonts w:cs="方正仿宋_GB2312" w:hint="eastAsia"/>
        </w:rPr>
        <w:t>HRS=0.358</w:t>
      </w:r>
      <w:r>
        <w:rPr>
          <w:rFonts w:cs="方正仿宋_GB2312" w:hint="eastAsia"/>
        </w:rPr>
        <w:t>，太阳能资源稳定度属于“一般”区域（</w:t>
      </w:r>
      <w:r>
        <w:rPr>
          <w:rFonts w:cs="方正仿宋_GB2312" w:hint="eastAsia"/>
        </w:rPr>
        <w:t>C</w:t>
      </w:r>
      <w:r>
        <w:rPr>
          <w:rFonts w:cs="方正仿宋_GB2312" w:hint="eastAsia"/>
        </w:rPr>
        <w:t>级）。全年的直射比为</w:t>
      </w:r>
      <w:r>
        <w:rPr>
          <w:rFonts w:cs="方正仿宋_GB2312" w:hint="eastAsia"/>
        </w:rPr>
        <w:t>0.61</w:t>
      </w:r>
      <w:r>
        <w:rPr>
          <w:rFonts w:cs="方正仿宋_GB2312" w:hint="eastAsia"/>
        </w:rPr>
        <w:t>，直射</w:t>
      </w:r>
      <w:proofErr w:type="gramStart"/>
      <w:r>
        <w:rPr>
          <w:rFonts w:cs="方正仿宋_GB2312" w:hint="eastAsia"/>
        </w:rPr>
        <w:t>比属于</w:t>
      </w:r>
      <w:proofErr w:type="gramEnd"/>
      <w:r>
        <w:rPr>
          <w:rFonts w:cs="方正仿宋_GB2312" w:hint="eastAsia"/>
        </w:rPr>
        <w:t>很高（</w:t>
      </w:r>
      <w:r>
        <w:rPr>
          <w:rFonts w:cs="方正仿宋_GB2312" w:hint="eastAsia"/>
        </w:rPr>
        <w:t>A</w:t>
      </w:r>
      <w:r>
        <w:rPr>
          <w:rFonts w:cs="方正仿宋_GB2312" w:hint="eastAsia"/>
        </w:rPr>
        <w:t>级），该区域属于直接辐射占主导。因此，规划光伏电站具有较好的开发价值。</w:t>
      </w:r>
    </w:p>
    <w:p w14:paraId="6B87542C" w14:textId="77777777" w:rsidR="00A739F2" w:rsidRDefault="00597D48">
      <w:pPr>
        <w:outlineLvl w:val="1"/>
        <w:rPr>
          <w:rFonts w:eastAsia="楷体" w:cs="楷体"/>
        </w:rPr>
      </w:pPr>
      <w:bookmarkStart w:id="116" w:name="_Toc4970"/>
      <w:bookmarkStart w:id="117" w:name="_Toc32200"/>
      <w:bookmarkStart w:id="118" w:name="_Toc6154"/>
      <w:bookmarkStart w:id="119" w:name="_Toc14989"/>
      <w:bookmarkStart w:id="120" w:name="_Toc2918"/>
      <w:bookmarkStart w:id="121" w:name="_Toc16985"/>
      <w:bookmarkStart w:id="122" w:name="_Toc29873"/>
      <w:r>
        <w:rPr>
          <w:rFonts w:eastAsia="楷体" w:cs="楷体" w:hint="eastAsia"/>
        </w:rPr>
        <w:t>（四）电网条件</w:t>
      </w:r>
      <w:bookmarkEnd w:id="116"/>
      <w:bookmarkEnd w:id="117"/>
      <w:bookmarkEnd w:id="118"/>
      <w:bookmarkEnd w:id="119"/>
      <w:bookmarkEnd w:id="120"/>
      <w:bookmarkEnd w:id="121"/>
      <w:bookmarkEnd w:id="122"/>
    </w:p>
    <w:p w14:paraId="41B51C7D" w14:textId="77777777" w:rsidR="00A739F2" w:rsidRDefault="00597D48">
      <w:r>
        <w:rPr>
          <w:rFonts w:hint="eastAsia"/>
        </w:rPr>
        <w:t>鄂尔多斯电网位于内蒙古电网的西南部，按电网分布情况，可分为鄂尔多斯中部供电区（包括达拉</w:t>
      </w:r>
      <w:proofErr w:type="gramStart"/>
      <w:r>
        <w:rPr>
          <w:rFonts w:hint="eastAsia"/>
        </w:rPr>
        <w:t>特</w:t>
      </w:r>
      <w:proofErr w:type="gramEnd"/>
      <w:r>
        <w:rPr>
          <w:rFonts w:hint="eastAsia"/>
        </w:rPr>
        <w:t>旗地区、东胜地区、伊金霍洛旗地区、乌审旗地区和</w:t>
      </w:r>
      <w:proofErr w:type="gramStart"/>
      <w:r>
        <w:rPr>
          <w:rFonts w:hint="eastAsia"/>
        </w:rPr>
        <w:t>杭锦旗</w:t>
      </w:r>
      <w:proofErr w:type="gramEnd"/>
      <w:r>
        <w:rPr>
          <w:rFonts w:hint="eastAsia"/>
        </w:rPr>
        <w:t>地区）和鄂尔多斯西部供电区（包括鄂托克旗、鄂托克前旗）。</w:t>
      </w:r>
    </w:p>
    <w:p w14:paraId="5C12AEAA" w14:textId="77777777" w:rsidR="00A739F2" w:rsidRDefault="00597D48">
      <w:r>
        <w:rPr>
          <w:rFonts w:hint="eastAsia"/>
        </w:rPr>
        <w:t>鄂尔多斯中部供电区分别通过布日都～乌海、响沙湾～高新、响沙湾～永圣域共</w:t>
      </w:r>
      <w:r>
        <w:rPr>
          <w:rFonts w:hint="eastAsia"/>
        </w:rPr>
        <w:t>6</w:t>
      </w:r>
      <w:r>
        <w:rPr>
          <w:rFonts w:hint="eastAsia"/>
        </w:rPr>
        <w:t>回</w:t>
      </w:r>
      <w:r>
        <w:rPr>
          <w:rFonts w:hint="eastAsia"/>
        </w:rPr>
        <w:t>500kV</w:t>
      </w:r>
      <w:r>
        <w:rPr>
          <w:rFonts w:hint="eastAsia"/>
        </w:rPr>
        <w:t>线路与乌海、包头、呼市电网相连。鄂中部供电区现已形成了以布日都、响沙湾、甘迪尔、阿勒泰四座</w:t>
      </w:r>
      <w:r>
        <w:rPr>
          <w:rFonts w:hint="eastAsia"/>
        </w:rPr>
        <w:t>500kV</w:t>
      </w:r>
      <w:r>
        <w:rPr>
          <w:rFonts w:hint="eastAsia"/>
        </w:rPr>
        <w:t>变电站为中心，</w:t>
      </w:r>
      <w:r>
        <w:rPr>
          <w:rFonts w:hint="eastAsia"/>
        </w:rPr>
        <w:t>220kV</w:t>
      </w:r>
      <w:r>
        <w:rPr>
          <w:rFonts w:hint="eastAsia"/>
        </w:rPr>
        <w:t>为主供电网架的网络格局。其中响沙湾供电区以响沙湾</w:t>
      </w:r>
      <w:r>
        <w:rPr>
          <w:rFonts w:hint="eastAsia"/>
        </w:rPr>
        <w:t>500kV</w:t>
      </w:r>
      <w:r>
        <w:rPr>
          <w:rFonts w:hint="eastAsia"/>
        </w:rPr>
        <w:t>变电源点，分别通过</w:t>
      </w:r>
      <w:r>
        <w:rPr>
          <w:rFonts w:hint="eastAsia"/>
        </w:rPr>
        <w:t>2</w:t>
      </w:r>
      <w:r>
        <w:rPr>
          <w:rFonts w:hint="eastAsia"/>
        </w:rPr>
        <w:t>回及以上</w:t>
      </w:r>
      <w:r>
        <w:rPr>
          <w:rFonts w:hint="eastAsia"/>
        </w:rPr>
        <w:t>220kV</w:t>
      </w:r>
      <w:r>
        <w:rPr>
          <w:rFonts w:hint="eastAsia"/>
        </w:rPr>
        <w:t>线路辐射状</w:t>
      </w:r>
      <w:r>
        <w:rPr>
          <w:rFonts w:hint="eastAsia"/>
        </w:rPr>
        <w:t>向达旗、杭锦旗地区供电；布日都、甘迪尔联合供电区以布日都、甘迪尔、阿勒泰</w:t>
      </w:r>
      <w:r>
        <w:rPr>
          <w:rFonts w:hint="eastAsia"/>
        </w:rPr>
        <w:t>500kV</w:t>
      </w:r>
      <w:r>
        <w:rPr>
          <w:rFonts w:hint="eastAsia"/>
        </w:rPr>
        <w:t>变为支点，通过</w:t>
      </w:r>
      <w:r>
        <w:rPr>
          <w:rFonts w:hint="eastAsia"/>
        </w:rPr>
        <w:t>220kV</w:t>
      </w:r>
      <w:r>
        <w:rPr>
          <w:rFonts w:hint="eastAsia"/>
        </w:rPr>
        <w:t>环网及</w:t>
      </w:r>
      <w:r>
        <w:rPr>
          <w:rFonts w:hint="eastAsia"/>
        </w:rPr>
        <w:t>500/220kV</w:t>
      </w:r>
      <w:r>
        <w:rPr>
          <w:rFonts w:hint="eastAsia"/>
        </w:rPr>
        <w:t>电磁环网向东胜区、乌审</w:t>
      </w:r>
      <w:r>
        <w:rPr>
          <w:rFonts w:hint="eastAsia"/>
        </w:rPr>
        <w:lastRenderedPageBreak/>
        <w:t>旗地区、伊金霍洛旗地区、鄂托克旗地区供电，分别形成布日都～东胜北郊～马莲、布日都～马莲～乌兰木伦、布日都～乌兰木伦～扎</w:t>
      </w:r>
      <w:proofErr w:type="gramStart"/>
      <w:r>
        <w:rPr>
          <w:rFonts w:hint="eastAsia"/>
        </w:rPr>
        <w:t>萨</w:t>
      </w:r>
      <w:proofErr w:type="gramEnd"/>
      <w:r>
        <w:rPr>
          <w:rFonts w:hint="eastAsia"/>
        </w:rPr>
        <w:t>克～甘迪尔、布日都～</w:t>
      </w:r>
      <w:proofErr w:type="gramStart"/>
      <w:r>
        <w:rPr>
          <w:rFonts w:hint="eastAsia"/>
        </w:rPr>
        <w:t>掌岗图</w:t>
      </w:r>
      <w:proofErr w:type="gramEnd"/>
      <w:r>
        <w:rPr>
          <w:rFonts w:hint="eastAsia"/>
        </w:rPr>
        <w:t>～甘迪尔、甘迪尔苏贝～</w:t>
      </w:r>
      <w:proofErr w:type="gramStart"/>
      <w:r>
        <w:rPr>
          <w:rFonts w:hint="eastAsia"/>
        </w:rPr>
        <w:t>图忽岱</w:t>
      </w:r>
      <w:proofErr w:type="gramEnd"/>
      <w:r>
        <w:rPr>
          <w:rFonts w:hint="eastAsia"/>
        </w:rPr>
        <w:t>、苏贝～乌审～</w:t>
      </w:r>
      <w:proofErr w:type="gramStart"/>
      <w:r>
        <w:rPr>
          <w:rFonts w:hint="eastAsia"/>
        </w:rPr>
        <w:t>图忽岱</w:t>
      </w:r>
      <w:proofErr w:type="gramEnd"/>
      <w:r>
        <w:rPr>
          <w:rFonts w:hint="eastAsia"/>
        </w:rPr>
        <w:t>、无定河～乌审～</w:t>
      </w:r>
      <w:proofErr w:type="gramStart"/>
      <w:r>
        <w:rPr>
          <w:rFonts w:hint="eastAsia"/>
        </w:rPr>
        <w:t>图忽岱</w:t>
      </w:r>
      <w:proofErr w:type="gramEnd"/>
      <w:r>
        <w:rPr>
          <w:rFonts w:hint="eastAsia"/>
        </w:rPr>
        <w:t>、阿勒泰～乌</w:t>
      </w:r>
      <w:proofErr w:type="gramStart"/>
      <w:r>
        <w:rPr>
          <w:rFonts w:hint="eastAsia"/>
        </w:rPr>
        <w:t>审图忽岱</w:t>
      </w:r>
      <w:proofErr w:type="gramEnd"/>
      <w:r>
        <w:rPr>
          <w:rFonts w:hint="eastAsia"/>
        </w:rPr>
        <w:t>～无定河多个</w:t>
      </w:r>
      <w:proofErr w:type="spellStart"/>
      <w:r>
        <w:rPr>
          <w:rFonts w:hint="eastAsia"/>
        </w:rPr>
        <w:t>220kV</w:t>
      </w:r>
      <w:proofErr w:type="spellEnd"/>
      <w:r>
        <w:rPr>
          <w:rFonts w:hint="eastAsia"/>
        </w:rPr>
        <w:t>环网及</w:t>
      </w:r>
      <w:r>
        <w:rPr>
          <w:rFonts w:hint="eastAsia"/>
        </w:rPr>
        <w:t>500/220kV</w:t>
      </w:r>
      <w:r>
        <w:rPr>
          <w:rFonts w:hint="eastAsia"/>
        </w:rPr>
        <w:t>电磁环网。</w:t>
      </w:r>
    </w:p>
    <w:p w14:paraId="53C3A5FE" w14:textId="77777777" w:rsidR="00A739F2" w:rsidRDefault="00597D48">
      <w:r>
        <w:rPr>
          <w:rFonts w:hint="eastAsia"/>
        </w:rPr>
        <w:t>鄂尔多斯电网所辖</w:t>
      </w:r>
      <w:r>
        <w:rPr>
          <w:rFonts w:hint="eastAsia"/>
        </w:rPr>
        <w:t>500kV</w:t>
      </w:r>
      <w:r>
        <w:rPr>
          <w:rFonts w:hint="eastAsia"/>
        </w:rPr>
        <w:t>变电站</w:t>
      </w:r>
      <w:r>
        <w:rPr>
          <w:rFonts w:hint="eastAsia"/>
        </w:rPr>
        <w:t>5</w:t>
      </w:r>
      <w:r>
        <w:rPr>
          <w:rFonts w:hint="eastAsia"/>
        </w:rPr>
        <w:t>座，</w:t>
      </w:r>
      <w:proofErr w:type="gramStart"/>
      <w:r>
        <w:rPr>
          <w:rFonts w:hint="eastAsia"/>
        </w:rPr>
        <w:t>总变电容</w:t>
      </w:r>
      <w:proofErr w:type="gramEnd"/>
      <w:r>
        <w:rPr>
          <w:rFonts w:hint="eastAsia"/>
        </w:rPr>
        <w:t>量</w:t>
      </w:r>
      <w:r>
        <w:rPr>
          <w:rFonts w:hint="eastAsia"/>
        </w:rPr>
        <w:t>12150MVA</w:t>
      </w:r>
      <w:r>
        <w:rPr>
          <w:rFonts w:hint="eastAsia"/>
        </w:rPr>
        <w:t>；</w:t>
      </w:r>
      <w:r>
        <w:rPr>
          <w:rFonts w:hint="eastAsia"/>
        </w:rPr>
        <w:t>220kV</w:t>
      </w:r>
      <w:r>
        <w:rPr>
          <w:rFonts w:hint="eastAsia"/>
        </w:rPr>
        <w:t>公用变电站</w:t>
      </w:r>
      <w:r>
        <w:rPr>
          <w:rFonts w:hint="eastAsia"/>
        </w:rPr>
        <w:t>28</w:t>
      </w:r>
      <w:r>
        <w:rPr>
          <w:rFonts w:hint="eastAsia"/>
        </w:rPr>
        <w:t>座，主变</w:t>
      </w:r>
      <w:r>
        <w:rPr>
          <w:rFonts w:hint="eastAsia"/>
        </w:rPr>
        <w:t>66</w:t>
      </w:r>
      <w:r>
        <w:rPr>
          <w:rFonts w:hint="eastAsia"/>
        </w:rPr>
        <w:t>台，</w:t>
      </w:r>
      <w:proofErr w:type="gramStart"/>
      <w:r>
        <w:rPr>
          <w:rFonts w:hint="eastAsia"/>
        </w:rPr>
        <w:t>总变电容</w:t>
      </w:r>
      <w:proofErr w:type="gramEnd"/>
      <w:r>
        <w:rPr>
          <w:rFonts w:hint="eastAsia"/>
        </w:rPr>
        <w:t>量</w:t>
      </w:r>
      <w:r>
        <w:rPr>
          <w:rFonts w:hint="eastAsia"/>
        </w:rPr>
        <w:t>12300MVA</w:t>
      </w:r>
      <w:r>
        <w:rPr>
          <w:rFonts w:hint="eastAsia"/>
        </w:rPr>
        <w:t>，开关站一座。截至</w:t>
      </w:r>
      <w:r>
        <w:rPr>
          <w:rFonts w:hint="eastAsia"/>
        </w:rPr>
        <w:t>2023</w:t>
      </w:r>
      <w:r>
        <w:rPr>
          <w:rFonts w:hint="eastAsia"/>
        </w:rPr>
        <w:t>年底，鄂尔多斯电网覆盖范围内</w:t>
      </w:r>
      <w:r>
        <w:rPr>
          <w:rFonts w:hint="eastAsia"/>
        </w:rPr>
        <w:t>220kV</w:t>
      </w:r>
      <w:r>
        <w:rPr>
          <w:rFonts w:hint="eastAsia"/>
        </w:rPr>
        <w:t>输变电线路</w:t>
      </w:r>
      <w:r>
        <w:rPr>
          <w:rFonts w:hint="eastAsia"/>
        </w:rPr>
        <w:t>131</w:t>
      </w:r>
      <w:r>
        <w:rPr>
          <w:rFonts w:hint="eastAsia"/>
        </w:rPr>
        <w:t>条，线路总长度约</w:t>
      </w:r>
      <w:r>
        <w:rPr>
          <w:rFonts w:hint="eastAsia"/>
        </w:rPr>
        <w:t>4079.308km</w:t>
      </w:r>
      <w:r>
        <w:rPr>
          <w:rFonts w:hint="eastAsia"/>
        </w:rPr>
        <w:t>。</w:t>
      </w:r>
    </w:p>
    <w:p w14:paraId="13C3F33E" w14:textId="77777777" w:rsidR="00A739F2" w:rsidRDefault="00597D48">
      <w:r>
        <w:rPr>
          <w:rFonts w:hint="eastAsia"/>
        </w:rPr>
        <w:t>康巴什地区用电负荷由</w:t>
      </w:r>
      <w:r>
        <w:rPr>
          <w:rFonts w:hint="eastAsia"/>
        </w:rPr>
        <w:t>2</w:t>
      </w:r>
      <w:r>
        <w:rPr>
          <w:rFonts w:hint="eastAsia"/>
        </w:rPr>
        <w:t>座</w:t>
      </w:r>
      <w:r>
        <w:rPr>
          <w:rFonts w:hint="eastAsia"/>
        </w:rPr>
        <w:t>220kV</w:t>
      </w:r>
      <w:r>
        <w:rPr>
          <w:rFonts w:hint="eastAsia"/>
        </w:rPr>
        <w:t>变电站（康巴什变电站、装备变电站）、</w:t>
      </w:r>
      <w:r>
        <w:rPr>
          <w:rFonts w:hint="eastAsia"/>
        </w:rPr>
        <w:t>9</w:t>
      </w:r>
      <w:r>
        <w:rPr>
          <w:rFonts w:hint="eastAsia"/>
        </w:rPr>
        <w:t>座</w:t>
      </w:r>
      <w:r>
        <w:rPr>
          <w:rFonts w:hint="eastAsia"/>
        </w:rPr>
        <w:t>110kV</w:t>
      </w:r>
      <w:r>
        <w:rPr>
          <w:rFonts w:hint="eastAsia"/>
        </w:rPr>
        <w:t>变电站（青春山变电站、</w:t>
      </w:r>
      <w:proofErr w:type="gramStart"/>
      <w:r>
        <w:rPr>
          <w:rFonts w:hint="eastAsia"/>
        </w:rPr>
        <w:t>景观河</w:t>
      </w:r>
      <w:proofErr w:type="gramEnd"/>
      <w:r>
        <w:rPr>
          <w:rFonts w:hint="eastAsia"/>
        </w:rPr>
        <w:t>变电站、红海子变电站、</w:t>
      </w:r>
      <w:proofErr w:type="gramStart"/>
      <w:r>
        <w:rPr>
          <w:rFonts w:hint="eastAsia"/>
        </w:rPr>
        <w:t>商混变电站</w:t>
      </w:r>
      <w:proofErr w:type="gramEnd"/>
      <w:r>
        <w:rPr>
          <w:rFonts w:hint="eastAsia"/>
        </w:rPr>
        <w:t>、惠民变电站、寨子塔变电站、北区变电站、杨五</w:t>
      </w:r>
      <w:proofErr w:type="gramStart"/>
      <w:r>
        <w:rPr>
          <w:rFonts w:hint="eastAsia"/>
        </w:rPr>
        <w:t>壕</w:t>
      </w:r>
      <w:proofErr w:type="gramEnd"/>
      <w:r>
        <w:rPr>
          <w:rFonts w:hint="eastAsia"/>
        </w:rPr>
        <w:t>变电站、幸福变电站）带出。与此同时，为满足城区负荷发展需要，减轻康巴什</w:t>
      </w:r>
      <w:r>
        <w:rPr>
          <w:rFonts w:hint="eastAsia"/>
        </w:rPr>
        <w:t>220kV</w:t>
      </w:r>
      <w:r>
        <w:rPr>
          <w:rFonts w:hint="eastAsia"/>
        </w:rPr>
        <w:t>变电站供电压力，加强和优化城区</w:t>
      </w:r>
      <w:r>
        <w:rPr>
          <w:rFonts w:hint="eastAsia"/>
        </w:rPr>
        <w:t>110kV</w:t>
      </w:r>
      <w:r>
        <w:rPr>
          <w:rFonts w:hint="eastAsia"/>
        </w:rPr>
        <w:t>电网结构，提高城</w:t>
      </w:r>
      <w:r>
        <w:rPr>
          <w:rFonts w:hint="eastAsia"/>
        </w:rPr>
        <w:t>区供电安全保障，规划</w:t>
      </w:r>
      <w:r>
        <w:rPr>
          <w:rFonts w:hint="eastAsia"/>
        </w:rPr>
        <w:t>2025</w:t>
      </w:r>
      <w:r>
        <w:rPr>
          <w:rFonts w:hint="eastAsia"/>
        </w:rPr>
        <w:t>年建设</w:t>
      </w:r>
      <w:r>
        <w:rPr>
          <w:rFonts w:hint="eastAsia"/>
        </w:rPr>
        <w:t>220kV</w:t>
      </w:r>
      <w:r>
        <w:rPr>
          <w:rFonts w:hint="eastAsia"/>
        </w:rPr>
        <w:t>卓越站，届时康巴什区负荷将由</w:t>
      </w:r>
      <w:r>
        <w:rPr>
          <w:rFonts w:hint="eastAsia"/>
        </w:rPr>
        <w:t>3</w:t>
      </w:r>
      <w:r>
        <w:rPr>
          <w:rFonts w:hint="eastAsia"/>
        </w:rPr>
        <w:t>座</w:t>
      </w:r>
      <w:r>
        <w:rPr>
          <w:rFonts w:hint="eastAsia"/>
        </w:rPr>
        <w:t>220kV</w:t>
      </w:r>
      <w:r>
        <w:rPr>
          <w:rFonts w:hint="eastAsia"/>
        </w:rPr>
        <w:t>变电站接带。康巴什区</w:t>
      </w:r>
      <w:r>
        <w:rPr>
          <w:rFonts w:hint="eastAsia"/>
        </w:rPr>
        <w:t>10kV</w:t>
      </w:r>
      <w:r>
        <w:rPr>
          <w:rFonts w:hint="eastAsia"/>
        </w:rPr>
        <w:t>配电线路</w:t>
      </w:r>
      <w:r>
        <w:rPr>
          <w:rFonts w:hint="eastAsia"/>
        </w:rPr>
        <w:t>88</w:t>
      </w:r>
      <w:r>
        <w:rPr>
          <w:rFonts w:hint="eastAsia"/>
        </w:rPr>
        <w:t>条，总长</w:t>
      </w:r>
      <w:r>
        <w:rPr>
          <w:rFonts w:hint="eastAsia"/>
        </w:rPr>
        <w:t>836.71</w:t>
      </w:r>
      <w:r>
        <w:rPr>
          <w:rFonts w:hint="eastAsia"/>
        </w:rPr>
        <w:t>千米。其中电缆线路</w:t>
      </w:r>
      <w:r>
        <w:rPr>
          <w:rFonts w:hint="eastAsia"/>
        </w:rPr>
        <w:t>571.93</w:t>
      </w:r>
      <w:r>
        <w:rPr>
          <w:rFonts w:hint="eastAsia"/>
        </w:rPr>
        <w:t>千米及架空线路</w:t>
      </w:r>
      <w:r>
        <w:rPr>
          <w:rFonts w:hint="eastAsia"/>
        </w:rPr>
        <w:t>164.78</w:t>
      </w:r>
      <w:r>
        <w:rPr>
          <w:rFonts w:hint="eastAsia"/>
        </w:rPr>
        <w:t>千米。按区域划分为核心城区线路</w:t>
      </w:r>
      <w:r>
        <w:rPr>
          <w:rFonts w:hint="eastAsia"/>
        </w:rPr>
        <w:t>39</w:t>
      </w:r>
      <w:r>
        <w:rPr>
          <w:rFonts w:hint="eastAsia"/>
        </w:rPr>
        <w:t>条，总长</w:t>
      </w:r>
      <w:r>
        <w:rPr>
          <w:rFonts w:hint="eastAsia"/>
        </w:rPr>
        <w:t>435.51</w:t>
      </w:r>
      <w:r>
        <w:rPr>
          <w:rFonts w:hint="eastAsia"/>
        </w:rPr>
        <w:t>千米，绝缘化</w:t>
      </w:r>
      <w:r>
        <w:rPr>
          <w:rFonts w:hint="eastAsia"/>
        </w:rPr>
        <w:lastRenderedPageBreak/>
        <w:t>率</w:t>
      </w:r>
      <w:r>
        <w:rPr>
          <w:rFonts w:hint="eastAsia"/>
        </w:rPr>
        <w:t>100%</w:t>
      </w:r>
      <w:r>
        <w:rPr>
          <w:rFonts w:hint="eastAsia"/>
        </w:rPr>
        <w:t>，</w:t>
      </w:r>
      <w:proofErr w:type="gramStart"/>
      <w:r>
        <w:rPr>
          <w:rFonts w:hint="eastAsia"/>
        </w:rPr>
        <w:t>互带率和</w:t>
      </w:r>
      <w:proofErr w:type="gramEnd"/>
      <w:r>
        <w:rPr>
          <w:rFonts w:hint="eastAsia"/>
        </w:rPr>
        <w:t>转供率</w:t>
      </w:r>
      <w:r>
        <w:rPr>
          <w:rFonts w:hint="eastAsia"/>
        </w:rPr>
        <w:t>100%</w:t>
      </w:r>
      <w:r>
        <w:rPr>
          <w:rFonts w:hint="eastAsia"/>
        </w:rPr>
        <w:t>；各产业园区线路</w:t>
      </w:r>
      <w:r>
        <w:rPr>
          <w:rFonts w:hint="eastAsia"/>
        </w:rPr>
        <w:t>37</w:t>
      </w:r>
      <w:r>
        <w:rPr>
          <w:rFonts w:hint="eastAsia"/>
        </w:rPr>
        <w:t>条，总长</w:t>
      </w:r>
      <w:r>
        <w:rPr>
          <w:rFonts w:hint="eastAsia"/>
        </w:rPr>
        <w:t>226.66</w:t>
      </w:r>
      <w:r>
        <w:rPr>
          <w:rFonts w:hint="eastAsia"/>
        </w:rPr>
        <w:t>千米，绝缘化率</w:t>
      </w:r>
      <w:r>
        <w:rPr>
          <w:rFonts w:hint="eastAsia"/>
        </w:rPr>
        <w:t>100%</w:t>
      </w:r>
      <w:r>
        <w:rPr>
          <w:rFonts w:hint="eastAsia"/>
        </w:rPr>
        <w:t>，</w:t>
      </w:r>
      <w:proofErr w:type="gramStart"/>
      <w:r>
        <w:rPr>
          <w:rFonts w:hint="eastAsia"/>
        </w:rPr>
        <w:t>互带率和</w:t>
      </w:r>
      <w:proofErr w:type="gramEnd"/>
      <w:r>
        <w:rPr>
          <w:rFonts w:hint="eastAsia"/>
        </w:rPr>
        <w:t>转供率</w:t>
      </w:r>
      <w:r>
        <w:rPr>
          <w:rFonts w:hint="eastAsia"/>
        </w:rPr>
        <w:t>100%</w:t>
      </w:r>
      <w:r>
        <w:rPr>
          <w:rFonts w:hint="eastAsia"/>
        </w:rPr>
        <w:t>；农村线路</w:t>
      </w:r>
      <w:r>
        <w:rPr>
          <w:rFonts w:hint="eastAsia"/>
        </w:rPr>
        <w:t>10</w:t>
      </w:r>
      <w:r>
        <w:rPr>
          <w:rFonts w:hint="eastAsia"/>
        </w:rPr>
        <w:t>条，总长</w:t>
      </w:r>
      <w:r>
        <w:rPr>
          <w:rFonts w:hint="eastAsia"/>
        </w:rPr>
        <w:t>134.54</w:t>
      </w:r>
      <w:r>
        <w:rPr>
          <w:rFonts w:hint="eastAsia"/>
        </w:rPr>
        <w:t>米，绝缘化率</w:t>
      </w:r>
      <w:r>
        <w:rPr>
          <w:rFonts w:hint="eastAsia"/>
        </w:rPr>
        <w:t>84.6%</w:t>
      </w:r>
      <w:r>
        <w:rPr>
          <w:rFonts w:hint="eastAsia"/>
        </w:rPr>
        <w:t>，</w:t>
      </w:r>
      <w:proofErr w:type="gramStart"/>
      <w:r>
        <w:rPr>
          <w:rFonts w:hint="eastAsia"/>
        </w:rPr>
        <w:t>互带率和</w:t>
      </w:r>
      <w:proofErr w:type="gramEnd"/>
      <w:r>
        <w:rPr>
          <w:rFonts w:hint="eastAsia"/>
        </w:rPr>
        <w:t>转供率</w:t>
      </w:r>
      <w:r>
        <w:rPr>
          <w:rFonts w:hint="eastAsia"/>
        </w:rPr>
        <w:t>100%</w:t>
      </w:r>
      <w:r>
        <w:rPr>
          <w:rFonts w:hint="eastAsia"/>
        </w:rPr>
        <w:t>。所有线路负荷率均未超</w:t>
      </w:r>
      <w:r>
        <w:rPr>
          <w:rFonts w:hint="eastAsia"/>
        </w:rPr>
        <w:t>70%</w:t>
      </w:r>
      <w:r>
        <w:rPr>
          <w:rFonts w:hint="eastAsia"/>
        </w:rPr>
        <w:t>。目前分局公用线</w:t>
      </w:r>
      <w:r>
        <w:rPr>
          <w:rFonts w:hint="eastAsia"/>
        </w:rPr>
        <w:t>路</w:t>
      </w:r>
      <w:r>
        <w:rPr>
          <w:rFonts w:hint="eastAsia"/>
        </w:rPr>
        <w:t>83</w:t>
      </w:r>
      <w:r>
        <w:rPr>
          <w:rFonts w:hint="eastAsia"/>
        </w:rPr>
        <w:t>条，其中配网自动化线路完成建设的</w:t>
      </w:r>
      <w:r>
        <w:rPr>
          <w:rFonts w:hint="eastAsia"/>
        </w:rPr>
        <w:t>75</w:t>
      </w:r>
      <w:r>
        <w:rPr>
          <w:rFonts w:hint="eastAsia"/>
        </w:rPr>
        <w:t>条，配网自动化覆盖率</w:t>
      </w:r>
      <w:r>
        <w:rPr>
          <w:rFonts w:hint="eastAsia"/>
        </w:rPr>
        <w:t>90.36%</w:t>
      </w:r>
      <w:r>
        <w:rPr>
          <w:rFonts w:hint="eastAsia"/>
        </w:rPr>
        <w:t>。康巴</w:t>
      </w:r>
      <w:proofErr w:type="gramStart"/>
      <w:r>
        <w:rPr>
          <w:rFonts w:hint="eastAsia"/>
        </w:rPr>
        <w:t>什核心供电</w:t>
      </w:r>
      <w:proofErr w:type="gramEnd"/>
      <w:r>
        <w:rPr>
          <w:rFonts w:hint="eastAsia"/>
        </w:rPr>
        <w:t>区内蒙古电网首个智能分布式配电网自愈系统，配网线路可实现“毫秒故障隔离，秒级自愈恢复供电”，供电可靠率实现</w:t>
      </w:r>
      <w:r>
        <w:rPr>
          <w:rFonts w:hint="eastAsia"/>
        </w:rPr>
        <w:t>99.999%</w:t>
      </w:r>
      <w:r>
        <w:rPr>
          <w:rFonts w:hint="eastAsia"/>
        </w:rPr>
        <w:t>，处于全国领先水平。</w:t>
      </w:r>
    </w:p>
    <w:p w14:paraId="5F574F90" w14:textId="77777777" w:rsidR="00A739F2" w:rsidRDefault="00A739F2">
      <w:pPr>
        <w:tabs>
          <w:tab w:val="left" w:pos="2694"/>
        </w:tabs>
      </w:pPr>
    </w:p>
    <w:p w14:paraId="33943070" w14:textId="77777777" w:rsidR="00A739F2" w:rsidRDefault="00A739F2">
      <w:pPr>
        <w:tabs>
          <w:tab w:val="left" w:pos="2694"/>
        </w:tabs>
        <w:sectPr w:rsidR="00A739F2">
          <w:footerReference w:type="even" r:id="rId25"/>
          <w:footerReference w:type="default" r:id="rId26"/>
          <w:pgSz w:w="11906" w:h="16838"/>
          <w:pgMar w:top="2098" w:right="1474" w:bottom="1984" w:left="1587" w:header="850" w:footer="1417" w:gutter="0"/>
          <w:cols w:space="0"/>
          <w:docGrid w:type="linesAndChars" w:linePitch="312"/>
        </w:sectPr>
      </w:pPr>
    </w:p>
    <w:p w14:paraId="57130C75" w14:textId="77777777" w:rsidR="00A739F2" w:rsidRDefault="00597D48">
      <w:pPr>
        <w:ind w:firstLineChars="0" w:firstLine="0"/>
        <w:jc w:val="center"/>
      </w:pPr>
      <w:r>
        <w:rPr>
          <w:rFonts w:hint="eastAsia"/>
          <w:noProof/>
        </w:rPr>
        <w:lastRenderedPageBreak/>
        <w:drawing>
          <wp:inline distT="0" distB="0" distL="114300" distR="114300" wp14:anchorId="7F11CF3D" wp14:editId="694841A2">
            <wp:extent cx="6644640" cy="4993640"/>
            <wp:effectExtent l="0" t="0" r="0" b="5080"/>
            <wp:docPr id="6" name="图片 6" descr="企业微信截图_17193053996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企业微信截图_17193053996142"/>
                    <pic:cNvPicPr>
                      <a:picLocks noChangeAspect="1"/>
                    </pic:cNvPicPr>
                  </pic:nvPicPr>
                  <pic:blipFill>
                    <a:blip r:embed="rId27"/>
                    <a:stretch>
                      <a:fillRect/>
                    </a:stretch>
                  </pic:blipFill>
                  <pic:spPr>
                    <a:xfrm>
                      <a:off x="0" y="0"/>
                      <a:ext cx="6644640" cy="4993640"/>
                    </a:xfrm>
                    <a:prstGeom prst="rect">
                      <a:avLst/>
                    </a:prstGeom>
                  </pic:spPr>
                </pic:pic>
              </a:graphicData>
            </a:graphic>
          </wp:inline>
        </w:drawing>
      </w:r>
    </w:p>
    <w:p w14:paraId="10D1C132" w14:textId="77777777" w:rsidR="00A739F2" w:rsidRDefault="00597D48">
      <w:pPr>
        <w:ind w:firstLineChars="0" w:firstLine="0"/>
        <w:jc w:val="center"/>
        <w:rPr>
          <w:rFonts w:cs="Times New Roman"/>
        </w:rPr>
      </w:pPr>
      <w:r>
        <w:rPr>
          <w:rFonts w:cs="Times New Roman" w:hint="eastAsia"/>
          <w:b/>
          <w:sz w:val="24"/>
        </w:rPr>
        <w:t>图</w:t>
      </w:r>
      <w:r>
        <w:rPr>
          <w:rFonts w:cs="Times New Roman" w:hint="eastAsia"/>
          <w:b/>
          <w:sz w:val="24"/>
        </w:rPr>
        <w:t>3.4</w:t>
      </w:r>
      <w:r>
        <w:rPr>
          <w:rFonts w:cs="Times New Roman"/>
          <w:b/>
          <w:sz w:val="24"/>
        </w:rPr>
        <w:t>-1</w:t>
      </w:r>
      <w:r>
        <w:rPr>
          <w:rFonts w:cs="Times New Roman" w:hint="eastAsia"/>
          <w:b/>
          <w:sz w:val="24"/>
        </w:rPr>
        <w:t xml:space="preserve"> 2023</w:t>
      </w:r>
      <w:r>
        <w:rPr>
          <w:rFonts w:cs="Times New Roman" w:hint="eastAsia"/>
          <w:b/>
          <w:sz w:val="24"/>
        </w:rPr>
        <w:t>年底康巴什区电网地理接线示意图</w:t>
      </w:r>
    </w:p>
    <w:p w14:paraId="59ED42BA" w14:textId="77777777" w:rsidR="00A739F2" w:rsidRDefault="00A739F2">
      <w:pPr>
        <w:ind w:firstLineChars="0" w:firstLine="0"/>
        <w:sectPr w:rsidR="00A739F2">
          <w:footerReference w:type="even" r:id="rId28"/>
          <w:footerReference w:type="default" r:id="rId29"/>
          <w:pgSz w:w="16838" w:h="11906" w:orient="landscape"/>
          <w:pgMar w:top="1587" w:right="2098" w:bottom="1474" w:left="1984" w:header="850" w:footer="1417" w:gutter="0"/>
          <w:cols w:space="0"/>
          <w:docGrid w:type="linesAndChars" w:linePitch="312"/>
        </w:sectPr>
      </w:pPr>
    </w:p>
    <w:p w14:paraId="7E25AFCF" w14:textId="77777777" w:rsidR="00A739F2" w:rsidRDefault="00597D48">
      <w:pPr>
        <w:outlineLvl w:val="1"/>
        <w:rPr>
          <w:rFonts w:eastAsia="楷体" w:cs="楷体"/>
        </w:rPr>
      </w:pPr>
      <w:bookmarkStart w:id="123" w:name="_Toc30544"/>
      <w:bookmarkStart w:id="124" w:name="_Toc13607"/>
      <w:bookmarkStart w:id="125" w:name="_Toc30801"/>
      <w:bookmarkStart w:id="126" w:name="_Toc8238"/>
      <w:bookmarkStart w:id="127" w:name="_Toc22382"/>
      <w:bookmarkStart w:id="128" w:name="_Toc1405"/>
      <w:bookmarkStart w:id="129" w:name="_Toc6058"/>
      <w:r>
        <w:rPr>
          <w:rFonts w:eastAsia="楷体" w:cs="楷体" w:hint="eastAsia"/>
        </w:rPr>
        <w:lastRenderedPageBreak/>
        <w:t>（五）土地资源条件</w:t>
      </w:r>
      <w:bookmarkEnd w:id="123"/>
      <w:bookmarkEnd w:id="124"/>
      <w:bookmarkEnd w:id="125"/>
      <w:bookmarkEnd w:id="126"/>
      <w:bookmarkEnd w:id="127"/>
      <w:bookmarkEnd w:id="128"/>
      <w:bookmarkEnd w:id="129"/>
    </w:p>
    <w:p w14:paraId="06D69B07" w14:textId="77777777" w:rsidR="00A739F2" w:rsidRDefault="00597D48">
      <w:pPr>
        <w:rPr>
          <w:rFonts w:eastAsia="方正仿宋_GB2312"/>
        </w:rPr>
      </w:pPr>
      <w:r>
        <w:rPr>
          <w:rFonts w:hint="eastAsia"/>
        </w:rPr>
        <w:t>康巴什区总面积</w:t>
      </w:r>
      <w:r>
        <w:t>372.2</w:t>
      </w:r>
      <w:r>
        <w:rPr>
          <w:rFonts w:hint="eastAsia"/>
        </w:rPr>
        <w:t>平方公里，全区不涉及生态保护红线、自然保护地、</w:t>
      </w:r>
      <w:proofErr w:type="gramStart"/>
      <w:r>
        <w:rPr>
          <w:rFonts w:hint="eastAsia"/>
        </w:rPr>
        <w:t>国家公益</w:t>
      </w:r>
      <w:proofErr w:type="gramEnd"/>
      <w:r>
        <w:rPr>
          <w:rFonts w:hint="eastAsia"/>
        </w:rPr>
        <w:t>林、基本草原等，基本农田占地约</w:t>
      </w:r>
      <w:r>
        <w:t>14.2</w:t>
      </w:r>
      <w:r>
        <w:rPr>
          <w:rFonts w:hint="eastAsia"/>
        </w:rPr>
        <w:t>平方公里，占全区总面积的</w:t>
      </w:r>
      <w:r>
        <w:t>3.82%</w:t>
      </w:r>
      <w:r>
        <w:rPr>
          <w:rFonts w:hint="eastAsia"/>
        </w:rPr>
        <w:t>。根据最新国土变更</w:t>
      </w:r>
      <w:r>
        <w:rPr>
          <w:rFonts w:cs="仿宋_GB2312" w:hint="eastAsia"/>
        </w:rPr>
        <w:t>调</w:t>
      </w:r>
      <w:r>
        <w:rPr>
          <w:rFonts w:hint="eastAsia"/>
        </w:rPr>
        <w:t>查</w:t>
      </w:r>
      <w:r>
        <w:rPr>
          <w:rFonts w:cs="仿宋_GB2312" w:hint="eastAsia"/>
        </w:rPr>
        <w:t>主要数据</w:t>
      </w:r>
      <w:r>
        <w:rPr>
          <w:rFonts w:hint="eastAsia"/>
        </w:rPr>
        <w:t>，康巴什区耕</w:t>
      </w:r>
      <w:r>
        <w:rPr>
          <w:rFonts w:cs="仿宋_GB2312" w:hint="eastAsia"/>
        </w:rPr>
        <w:t>地面积</w:t>
      </w:r>
      <w:r>
        <w:rPr>
          <w:rFonts w:hint="eastAsia"/>
        </w:rPr>
        <w:t>1562.28</w:t>
      </w:r>
      <w:r>
        <w:rPr>
          <w:rFonts w:hint="eastAsia"/>
        </w:rPr>
        <w:t>公顷、园地面积</w:t>
      </w:r>
      <w:r>
        <w:rPr>
          <w:rFonts w:hint="eastAsia"/>
        </w:rPr>
        <w:t>3.63</w:t>
      </w:r>
      <w:r>
        <w:rPr>
          <w:rFonts w:hint="eastAsia"/>
        </w:rPr>
        <w:t>公顷、林地面积</w:t>
      </w:r>
      <w:r>
        <w:rPr>
          <w:rFonts w:hint="eastAsia"/>
        </w:rPr>
        <w:t>11600.14</w:t>
      </w:r>
      <w:r>
        <w:rPr>
          <w:rFonts w:hint="eastAsia"/>
        </w:rPr>
        <w:t>公顷、草地</w:t>
      </w:r>
      <w:r>
        <w:t>16368.8</w:t>
      </w:r>
      <w:r>
        <w:rPr>
          <w:rFonts w:hint="eastAsia"/>
        </w:rPr>
        <w:t>公顷、湿</w:t>
      </w:r>
      <w:r>
        <w:rPr>
          <w:rFonts w:cs="仿宋_GB2312" w:hint="eastAsia"/>
        </w:rPr>
        <w:t>地</w:t>
      </w:r>
      <w:r>
        <w:t>66.86</w:t>
      </w:r>
      <w:r>
        <w:rPr>
          <w:rFonts w:hint="eastAsia"/>
        </w:rPr>
        <w:t>公顷、城镇村</w:t>
      </w:r>
      <w:r>
        <w:rPr>
          <w:rFonts w:cs="仿宋_GB2312" w:hint="eastAsia"/>
        </w:rPr>
        <w:t>及工矿用地</w:t>
      </w:r>
      <w:r>
        <w:t>4636.57</w:t>
      </w:r>
      <w:r>
        <w:rPr>
          <w:rFonts w:hint="eastAsia"/>
        </w:rPr>
        <w:t>公顷、交通运输</w:t>
      </w:r>
      <w:r>
        <w:rPr>
          <w:rFonts w:cs="仿宋_GB2312" w:hint="eastAsia"/>
        </w:rPr>
        <w:t>用地</w:t>
      </w:r>
      <w:r>
        <w:t>624.4</w:t>
      </w:r>
      <w:r>
        <w:rPr>
          <w:rFonts w:hint="eastAsia"/>
        </w:rPr>
        <w:t>公顷、水域及水利设施用地</w:t>
      </w:r>
      <w:r>
        <w:t>1314.67</w:t>
      </w:r>
      <w:r>
        <w:rPr>
          <w:rFonts w:hint="eastAsia"/>
        </w:rPr>
        <w:t>公顷。按照国家和自治区关于新能源建设土地利用相关规定，结合自治区林草分区管</w:t>
      </w:r>
      <w:proofErr w:type="gramStart"/>
      <w:r>
        <w:rPr>
          <w:rFonts w:hint="eastAsia"/>
        </w:rPr>
        <w:t>控政策</w:t>
      </w:r>
      <w:proofErr w:type="gramEnd"/>
      <w:r>
        <w:rPr>
          <w:rFonts w:hint="eastAsia"/>
        </w:rPr>
        <w:t>规定</w:t>
      </w:r>
      <w:r>
        <w:rPr>
          <w:rFonts w:eastAsia="方正仿宋_GB2312" w:hint="eastAsia"/>
        </w:rPr>
        <w:t>，统计</w:t>
      </w:r>
      <w:proofErr w:type="gramStart"/>
      <w:r>
        <w:rPr>
          <w:rFonts w:eastAsia="方正仿宋_GB2312" w:hint="eastAsia"/>
        </w:rPr>
        <w:t>全区风</w:t>
      </w:r>
      <w:proofErr w:type="gramEnd"/>
      <w:r>
        <w:rPr>
          <w:rFonts w:eastAsia="方正仿宋_GB2312" w:hint="eastAsia"/>
        </w:rPr>
        <w:t>电开发可利用土地面积约</w:t>
      </w:r>
      <w:r>
        <w:rPr>
          <w:rFonts w:eastAsia="方正仿宋_GB2312" w:hint="eastAsia"/>
        </w:rPr>
        <w:t>185.8</w:t>
      </w:r>
      <w:r>
        <w:rPr>
          <w:rFonts w:eastAsia="方正仿宋_GB2312" w:hint="eastAsia"/>
        </w:rPr>
        <w:t>平方公里，占土地总面积的</w:t>
      </w:r>
      <w:r>
        <w:rPr>
          <w:rFonts w:eastAsia="方正仿宋_GB2312" w:hint="eastAsia"/>
        </w:rPr>
        <w:t>49.7%</w:t>
      </w:r>
      <w:r>
        <w:rPr>
          <w:rFonts w:eastAsia="方正仿宋_GB2312" w:hint="eastAsia"/>
        </w:rPr>
        <w:t>；</w:t>
      </w:r>
      <w:proofErr w:type="gramStart"/>
      <w:r>
        <w:rPr>
          <w:rFonts w:eastAsia="方正仿宋_GB2312" w:hint="eastAsia"/>
        </w:rPr>
        <w:t>全区光伏开发</w:t>
      </w:r>
      <w:proofErr w:type="gramEnd"/>
      <w:r>
        <w:rPr>
          <w:rFonts w:eastAsia="方正仿宋_GB2312" w:hint="eastAsia"/>
        </w:rPr>
        <w:t>可利用土地面积约</w:t>
      </w:r>
      <w:r>
        <w:rPr>
          <w:rFonts w:eastAsia="方正仿宋_GB2312" w:hint="eastAsia"/>
        </w:rPr>
        <w:t>222.8</w:t>
      </w:r>
      <w:r>
        <w:rPr>
          <w:rFonts w:eastAsia="方正仿宋_GB2312" w:hint="eastAsia"/>
        </w:rPr>
        <w:t>平方公里，占土地总面积的</w:t>
      </w:r>
      <w:r>
        <w:rPr>
          <w:rFonts w:eastAsia="方正仿宋_GB2312" w:hint="eastAsia"/>
        </w:rPr>
        <w:t>59.6%</w:t>
      </w:r>
      <w:r>
        <w:rPr>
          <w:rFonts w:eastAsia="方正仿宋_GB2312" w:hint="eastAsia"/>
        </w:rPr>
        <w:t>。康巴什区可用于新能源开发的土地分布如下图所示。</w:t>
      </w:r>
    </w:p>
    <w:p w14:paraId="720614B6" w14:textId="77777777" w:rsidR="00A739F2" w:rsidRDefault="00597D48">
      <w:pPr>
        <w:ind w:firstLineChars="0" w:firstLine="0"/>
        <w:jc w:val="center"/>
        <w:rPr>
          <w:rFonts w:eastAsia="方正仿宋_GB2312"/>
        </w:rPr>
      </w:pPr>
      <w:r>
        <w:rPr>
          <w:rFonts w:eastAsia="方正仿宋_GB2312" w:hint="eastAsia"/>
          <w:noProof/>
        </w:rPr>
        <w:lastRenderedPageBreak/>
        <w:drawing>
          <wp:inline distT="0" distB="0" distL="114300" distR="114300" wp14:anchorId="140AC20A" wp14:editId="7BC2B978">
            <wp:extent cx="4154805" cy="3078480"/>
            <wp:effectExtent l="0" t="0" r="5715" b="0"/>
            <wp:docPr id="21" name="图片 21" descr="d3e4eb56c77eb920ebfba60ae8feb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3e4eb56c77eb920ebfba60ae8febc7"/>
                    <pic:cNvPicPr>
                      <a:picLocks noChangeAspect="1"/>
                    </pic:cNvPicPr>
                  </pic:nvPicPr>
                  <pic:blipFill>
                    <a:blip r:embed="rId30"/>
                    <a:stretch>
                      <a:fillRect/>
                    </a:stretch>
                  </pic:blipFill>
                  <pic:spPr>
                    <a:xfrm>
                      <a:off x="0" y="0"/>
                      <a:ext cx="4154805" cy="3078480"/>
                    </a:xfrm>
                    <a:prstGeom prst="rect">
                      <a:avLst/>
                    </a:prstGeom>
                  </pic:spPr>
                </pic:pic>
              </a:graphicData>
            </a:graphic>
          </wp:inline>
        </w:drawing>
      </w:r>
    </w:p>
    <w:p w14:paraId="6E557AA8" w14:textId="77777777" w:rsidR="00A739F2" w:rsidRDefault="00597D48">
      <w:pPr>
        <w:ind w:firstLineChars="0" w:firstLine="0"/>
        <w:jc w:val="center"/>
        <w:rPr>
          <w:rFonts w:eastAsia="方正仿宋_GB2312"/>
        </w:rPr>
      </w:pPr>
      <w:r>
        <w:rPr>
          <w:rFonts w:cs="Times New Roman" w:hint="eastAsia"/>
          <w:b/>
          <w:sz w:val="24"/>
        </w:rPr>
        <w:t>图</w:t>
      </w:r>
      <w:r>
        <w:rPr>
          <w:rFonts w:cs="Times New Roman" w:hint="eastAsia"/>
          <w:b/>
          <w:sz w:val="24"/>
        </w:rPr>
        <w:t>3.5-</w:t>
      </w:r>
      <w:r>
        <w:rPr>
          <w:rFonts w:cs="Times New Roman" w:hint="eastAsia"/>
          <w:b/>
          <w:sz w:val="24"/>
        </w:rPr>
        <w:t xml:space="preserve">1 </w:t>
      </w:r>
      <w:r>
        <w:rPr>
          <w:rFonts w:cs="Times New Roman" w:hint="eastAsia"/>
          <w:b/>
          <w:sz w:val="24"/>
        </w:rPr>
        <w:t>康巴什区可用于新能源开发土地分布图</w:t>
      </w:r>
    </w:p>
    <w:p w14:paraId="604F78A3" w14:textId="77777777" w:rsidR="00A739F2" w:rsidRDefault="00597D48">
      <w:pPr>
        <w:spacing w:beforeLines="50" w:before="156"/>
        <w:outlineLvl w:val="1"/>
        <w:rPr>
          <w:rFonts w:eastAsia="楷体" w:cs="楷体"/>
        </w:rPr>
      </w:pPr>
      <w:bookmarkStart w:id="130" w:name="_Toc119322358"/>
      <w:bookmarkStart w:id="131" w:name="_Toc25562"/>
      <w:bookmarkStart w:id="132" w:name="_Toc27394"/>
      <w:bookmarkStart w:id="133" w:name="_Toc7194"/>
      <w:bookmarkStart w:id="134" w:name="_Toc21106"/>
      <w:bookmarkStart w:id="135" w:name="_Toc4292"/>
      <w:bookmarkStart w:id="136" w:name="_Toc6966"/>
      <w:bookmarkStart w:id="137" w:name="_Toc31249"/>
      <w:bookmarkStart w:id="138" w:name="_Toc15975"/>
      <w:r>
        <w:rPr>
          <w:rFonts w:eastAsia="楷体" w:cs="楷体" w:hint="eastAsia"/>
        </w:rPr>
        <w:t>（六）发展形势</w:t>
      </w:r>
      <w:bookmarkEnd w:id="130"/>
      <w:bookmarkEnd w:id="131"/>
      <w:bookmarkEnd w:id="132"/>
      <w:bookmarkEnd w:id="133"/>
      <w:bookmarkEnd w:id="134"/>
      <w:bookmarkEnd w:id="135"/>
      <w:bookmarkEnd w:id="136"/>
      <w:bookmarkEnd w:id="137"/>
    </w:p>
    <w:p w14:paraId="63D3FDEC" w14:textId="77777777" w:rsidR="00A739F2" w:rsidRDefault="00597D48">
      <w:r>
        <w:rPr>
          <w:rFonts w:hint="eastAsia"/>
        </w:rPr>
        <w:t>加快构建清洁低碳、安全高效的能源体系，更好的发挥新能源在能源保供增</w:t>
      </w:r>
      <w:proofErr w:type="gramStart"/>
      <w:r>
        <w:rPr>
          <w:rFonts w:hint="eastAsia"/>
        </w:rPr>
        <w:t>供方面</w:t>
      </w:r>
      <w:proofErr w:type="gramEnd"/>
      <w:r>
        <w:rPr>
          <w:rFonts w:hint="eastAsia"/>
        </w:rPr>
        <w:t>的作用，助力</w:t>
      </w:r>
      <w:proofErr w:type="gramStart"/>
      <w:r>
        <w:rPr>
          <w:rFonts w:hint="eastAsia"/>
        </w:rPr>
        <w:t>实现碳达峰</w:t>
      </w:r>
      <w:proofErr w:type="gramEnd"/>
      <w:r>
        <w:rPr>
          <w:rFonts w:hint="eastAsia"/>
        </w:rPr>
        <w:t>、碳中和，是落实党中央国务院重大决策部署的重要举措。康巴什区风光资源丰富，电网调峰资源较好，为区域新能源大规模、高比例、市场化和高质量发展创造良好条件。</w:t>
      </w:r>
      <w:r>
        <w:rPr>
          <w:rFonts w:hint="eastAsia"/>
        </w:rPr>
        <w:t>2021</w:t>
      </w:r>
      <w:r>
        <w:rPr>
          <w:rFonts w:hint="eastAsia"/>
        </w:rPr>
        <w:t>年</w:t>
      </w:r>
      <w:r>
        <w:t>自治区</w:t>
      </w:r>
      <w:r>
        <w:rPr>
          <w:rFonts w:hint="eastAsia"/>
        </w:rPr>
        <w:t>召开</w:t>
      </w:r>
      <w:r>
        <w:t>第十一次党代会，从全局和战略的高度，提出了</w:t>
      </w:r>
      <w:r>
        <w:rPr>
          <w:rFonts w:hint="eastAsia"/>
        </w:rPr>
        <w:t>“</w:t>
      </w:r>
      <w:r>
        <w:t>两个率先</w:t>
      </w:r>
      <w:r>
        <w:rPr>
          <w:rFonts w:hint="eastAsia"/>
        </w:rPr>
        <w:t>”“</w:t>
      </w:r>
      <w:r>
        <w:t>两个超过</w:t>
      </w:r>
      <w:r>
        <w:rPr>
          <w:rFonts w:hint="eastAsia"/>
        </w:rPr>
        <w:t>”</w:t>
      </w:r>
      <w:r>
        <w:t>的宏伟目标，明确了广泛拓展新能源场景应用、壮大风光</w:t>
      </w:r>
      <w:proofErr w:type="gramStart"/>
      <w:r>
        <w:t>氢储四</w:t>
      </w:r>
      <w:proofErr w:type="gramEnd"/>
      <w:r>
        <w:t>大产业集群、推动新能源全产业</w:t>
      </w:r>
      <w:proofErr w:type="gramStart"/>
      <w:r>
        <w:t>链发展</w:t>
      </w:r>
      <w:proofErr w:type="gramEnd"/>
      <w:r>
        <w:t>等工作任务，为未来一个时期</w:t>
      </w:r>
      <w:r>
        <w:rPr>
          <w:rFonts w:hint="eastAsia"/>
        </w:rPr>
        <w:t>全区</w:t>
      </w:r>
      <w:r>
        <w:t>新能源发展明确了努力方向</w:t>
      </w:r>
      <w:r>
        <w:rPr>
          <w:rFonts w:hint="eastAsia"/>
        </w:rPr>
        <w:t>。</w:t>
      </w:r>
    </w:p>
    <w:p w14:paraId="56C13879" w14:textId="77777777" w:rsidR="00A739F2" w:rsidRDefault="00597D48">
      <w:pPr>
        <w:rPr>
          <w:rFonts w:eastAsia="黑体" w:cs="黑体"/>
          <w:snapToGrid w:val="0"/>
          <w:color w:val="000000"/>
          <w:spacing w:val="-2"/>
          <w:kern w:val="0"/>
          <w:sz w:val="30"/>
          <w:szCs w:val="30"/>
        </w:rPr>
      </w:pPr>
      <w:r>
        <w:rPr>
          <w:rFonts w:hint="eastAsia"/>
        </w:rPr>
        <w:t>目前自治区新能源项目开发形式呈现多元化发展，</w:t>
      </w:r>
      <w:r>
        <w:t>鄂尔多</w:t>
      </w:r>
      <w:r>
        <w:lastRenderedPageBreak/>
        <w:t>斯市作为自治区</w:t>
      </w:r>
      <w:r>
        <w:rPr>
          <w:rFonts w:hint="eastAsia"/>
        </w:rPr>
        <w:t>重要</w:t>
      </w:r>
      <w:r>
        <w:t>能源基地</w:t>
      </w:r>
      <w:r>
        <w:rPr>
          <w:rFonts w:hint="eastAsia"/>
        </w:rPr>
        <w:t>的</w:t>
      </w:r>
      <w:r>
        <w:t>排头兵开展了</w:t>
      </w:r>
      <w:r>
        <w:rPr>
          <w:rFonts w:hint="eastAsia"/>
        </w:rPr>
        <w:t>各类</w:t>
      </w:r>
      <w:r>
        <w:t>新能源项目的开发</w:t>
      </w:r>
      <w:r>
        <w:rPr>
          <w:rFonts w:hint="eastAsia"/>
        </w:rPr>
        <w:t>，包含风电光</w:t>
      </w:r>
      <w:proofErr w:type="gramStart"/>
      <w:r>
        <w:rPr>
          <w:rFonts w:hint="eastAsia"/>
        </w:rPr>
        <w:t>伏</w:t>
      </w:r>
      <w:proofErr w:type="gramEnd"/>
      <w:r>
        <w:rPr>
          <w:rFonts w:hint="eastAsia"/>
        </w:rPr>
        <w:t>外送基地、保障性并网、</w:t>
      </w:r>
      <w:proofErr w:type="gramStart"/>
      <w:r>
        <w:rPr>
          <w:rFonts w:hint="eastAsia"/>
        </w:rPr>
        <w:t>源网荷储</w:t>
      </w:r>
      <w:proofErr w:type="gramEnd"/>
      <w:r>
        <w:rPr>
          <w:rFonts w:hint="eastAsia"/>
        </w:rPr>
        <w:t>、风光制氢、灵活性改造、园区清洁替代等</w:t>
      </w:r>
      <w:r>
        <w:t>项目</w:t>
      </w:r>
      <w:r>
        <w:rPr>
          <w:rFonts w:hint="eastAsia"/>
        </w:rPr>
        <w:t>类型</w:t>
      </w:r>
      <w:r>
        <w:t>，</w:t>
      </w:r>
      <w:r>
        <w:rPr>
          <w:rFonts w:hint="eastAsia"/>
        </w:rPr>
        <w:t>具有种类多、数量大、布局散的特点，为更好的支撑</w:t>
      </w:r>
      <w:r>
        <w:t>鄂尔多斯市</w:t>
      </w:r>
      <w:r>
        <w:rPr>
          <w:rFonts w:hint="eastAsia"/>
        </w:rPr>
        <w:t>新能源新模式发展、产业协同、高水平建设，推动土地集约高效利用，亟需做好新能源发展顶层设计，总体规划、分步实</w:t>
      </w:r>
      <w:r>
        <w:rPr>
          <w:rFonts w:hint="eastAsia"/>
        </w:rPr>
        <w:t>施，对康巴什区风光资源潜力、布局和有序利用进行系统性摸底和规划，形成资源开发指导性文件，构建完善的新能源高质量发展政策体系。</w:t>
      </w:r>
    </w:p>
    <w:p w14:paraId="4DA06FD2" w14:textId="77777777" w:rsidR="00A739F2" w:rsidRDefault="00597D48">
      <w:pPr>
        <w:widowControl/>
        <w:kinsoku w:val="0"/>
        <w:autoSpaceDE w:val="0"/>
        <w:autoSpaceDN w:val="0"/>
        <w:adjustRightInd w:val="0"/>
        <w:spacing w:before="100" w:line="360" w:lineRule="auto"/>
        <w:ind w:left="601" w:firstLineChars="0" w:firstLine="0"/>
        <w:jc w:val="left"/>
        <w:textAlignment w:val="baseline"/>
        <w:outlineLvl w:val="0"/>
        <w:rPr>
          <w:rFonts w:eastAsia="黑体" w:cs="黑体"/>
          <w:snapToGrid w:val="0"/>
          <w:color w:val="000000"/>
          <w:spacing w:val="-2"/>
          <w:kern w:val="0"/>
          <w:szCs w:val="32"/>
        </w:rPr>
      </w:pPr>
      <w:bookmarkStart w:id="139" w:name="_Toc18343"/>
      <w:bookmarkStart w:id="140" w:name="_Toc32572"/>
      <w:bookmarkStart w:id="141" w:name="_Toc3669"/>
      <w:bookmarkStart w:id="142" w:name="_Toc11437"/>
      <w:bookmarkStart w:id="143" w:name="_Toc16214"/>
      <w:bookmarkStart w:id="144" w:name="_Toc4242"/>
      <w:bookmarkStart w:id="145" w:name="_Toc20167"/>
      <w:bookmarkStart w:id="146" w:name="_Toc8561"/>
      <w:r>
        <w:rPr>
          <w:rFonts w:eastAsia="黑体" w:cs="黑体" w:hint="eastAsia"/>
          <w:snapToGrid w:val="0"/>
          <w:color w:val="000000"/>
          <w:spacing w:val="-2"/>
          <w:kern w:val="0"/>
          <w:szCs w:val="32"/>
        </w:rPr>
        <w:t>四、</w:t>
      </w:r>
      <w:bookmarkEnd w:id="138"/>
      <w:r>
        <w:rPr>
          <w:rFonts w:eastAsia="黑体" w:cs="黑体" w:hint="eastAsia"/>
          <w:snapToGrid w:val="0"/>
          <w:color w:val="000000"/>
          <w:spacing w:val="-2"/>
          <w:kern w:val="0"/>
          <w:szCs w:val="32"/>
        </w:rPr>
        <w:t>总体布局</w:t>
      </w:r>
      <w:bookmarkEnd w:id="139"/>
      <w:bookmarkEnd w:id="140"/>
      <w:bookmarkEnd w:id="141"/>
      <w:bookmarkEnd w:id="142"/>
      <w:bookmarkEnd w:id="143"/>
      <w:bookmarkEnd w:id="144"/>
      <w:bookmarkEnd w:id="145"/>
      <w:bookmarkEnd w:id="146"/>
    </w:p>
    <w:p w14:paraId="1EEE9A6A" w14:textId="77777777" w:rsidR="00A739F2" w:rsidRDefault="00597D48">
      <w:pPr>
        <w:pStyle w:val="af6"/>
        <w:rPr>
          <w:rFonts w:ascii="Times New Roman" w:hAnsi="Times New Roman"/>
        </w:rPr>
      </w:pPr>
      <w:bookmarkStart w:id="147" w:name="_Toc18067"/>
      <w:bookmarkStart w:id="148" w:name="_Toc4046"/>
      <w:bookmarkStart w:id="149" w:name="_Toc26536"/>
      <w:bookmarkStart w:id="150" w:name="_Toc29644"/>
      <w:bookmarkStart w:id="151" w:name="_Toc9442"/>
      <w:bookmarkStart w:id="152" w:name="_Toc10004"/>
      <w:bookmarkStart w:id="153" w:name="_Toc12898"/>
      <w:r>
        <w:rPr>
          <w:rFonts w:ascii="Times New Roman" w:hAnsi="Times New Roman" w:hint="eastAsia"/>
        </w:rPr>
        <w:t>（一）布局</w:t>
      </w:r>
      <w:r>
        <w:rPr>
          <w:rFonts w:ascii="Times New Roman" w:hAnsi="Times New Roman" w:cs="仿宋_GB2312" w:hint="eastAsia"/>
        </w:rPr>
        <w:t>原则</w:t>
      </w:r>
      <w:bookmarkEnd w:id="147"/>
      <w:bookmarkEnd w:id="148"/>
      <w:bookmarkEnd w:id="149"/>
      <w:bookmarkEnd w:id="150"/>
      <w:bookmarkEnd w:id="151"/>
      <w:bookmarkEnd w:id="152"/>
      <w:bookmarkEnd w:id="153"/>
    </w:p>
    <w:p w14:paraId="42A6A727" w14:textId="77777777" w:rsidR="00A739F2" w:rsidRDefault="00597D48">
      <w:r>
        <w:rPr>
          <w:rFonts w:hint="eastAsia"/>
        </w:rPr>
        <w:t>在城区范围内仅发展分布式新能源。在城市规划区以外，严格遵守各项新能源土地利用政策，充分考虑各项限制性因素影响，紧密结合最新国土三调和空间规划成果进行新能源场址布局。</w:t>
      </w:r>
    </w:p>
    <w:p w14:paraId="0E676A6C" w14:textId="77777777" w:rsidR="00A739F2" w:rsidRDefault="00597D48">
      <w:r>
        <w:rPr>
          <w:rFonts w:hint="eastAsia"/>
        </w:rPr>
        <w:t>风电选址原则如下：</w:t>
      </w:r>
    </w:p>
    <w:p w14:paraId="306A7040" w14:textId="77777777" w:rsidR="00A739F2" w:rsidRDefault="00597D48">
      <w:r>
        <w:t>1</w:t>
      </w:r>
      <w:r>
        <w:rPr>
          <w:rFonts w:hint="eastAsia"/>
        </w:rPr>
        <w:t>）风能资源：风力发电场选址必须以具有可开发利用的风能资源为前提，本阶段利用中尺度气象数据或实测数据分析规划风力发电场风能资源情况。</w:t>
      </w:r>
    </w:p>
    <w:p w14:paraId="7E6117DF" w14:textId="77777777" w:rsidR="00A739F2" w:rsidRDefault="00597D48">
      <w:r>
        <w:t>2</w:t>
      </w:r>
      <w:r>
        <w:rPr>
          <w:rFonts w:hint="eastAsia"/>
        </w:rPr>
        <w:t>）建设规模：规划风力发电场尽量集中</w:t>
      </w:r>
      <w:r>
        <w:rPr>
          <w:rFonts w:hint="eastAsia"/>
        </w:rPr>
        <w:t>连片，必须具备一</w:t>
      </w:r>
      <w:r>
        <w:rPr>
          <w:rFonts w:hint="eastAsia"/>
        </w:rPr>
        <w:lastRenderedPageBreak/>
        <w:t>定的开发规模。</w:t>
      </w:r>
    </w:p>
    <w:p w14:paraId="6DDDB0EF" w14:textId="77777777" w:rsidR="00A739F2" w:rsidRDefault="00597D48">
      <w:r>
        <w:t>3</w:t>
      </w:r>
      <w:r>
        <w:rPr>
          <w:rFonts w:hint="eastAsia"/>
        </w:rPr>
        <w:t>）地形地貌：风力发电场址尽可能选择地形开阔区域，对于山地地区尽可能选择迎风坡。</w:t>
      </w:r>
    </w:p>
    <w:p w14:paraId="6CD9A274" w14:textId="77777777" w:rsidR="00A739F2" w:rsidRDefault="00597D48">
      <w:r>
        <w:t>4</w:t>
      </w:r>
      <w:r>
        <w:rPr>
          <w:rFonts w:hint="eastAsia"/>
        </w:rPr>
        <w:t>）工程地质：风力发电场场址应避免可能出现的滑坡、泥石流、洪水等不良地质灾害隐患。</w:t>
      </w:r>
    </w:p>
    <w:p w14:paraId="743A300D" w14:textId="77777777" w:rsidR="00A739F2" w:rsidRDefault="00597D48">
      <w:r>
        <w:t>5</w:t>
      </w:r>
      <w:r>
        <w:rPr>
          <w:rFonts w:hint="eastAsia"/>
        </w:rPr>
        <w:t>）接入条件：风力发电</w:t>
      </w:r>
      <w:proofErr w:type="gramStart"/>
      <w:r>
        <w:rPr>
          <w:rFonts w:hint="eastAsia"/>
        </w:rPr>
        <w:t>场</w:t>
      </w:r>
      <w:proofErr w:type="gramEnd"/>
      <w:r>
        <w:rPr>
          <w:rFonts w:hint="eastAsia"/>
        </w:rPr>
        <w:t>场址尽可能靠近主干电网，最大限度的减少接入成本。</w:t>
      </w:r>
    </w:p>
    <w:p w14:paraId="775262EC" w14:textId="77777777" w:rsidR="00A739F2" w:rsidRDefault="00597D48">
      <w:r>
        <w:t>6</w:t>
      </w:r>
      <w:r>
        <w:rPr>
          <w:rFonts w:hint="eastAsia"/>
        </w:rPr>
        <w:t>）交通运输：风力发电场选址应充分调查场区周边的现有交通情况，尽可能选在交通条件相对较好的区域，并考虑后期风机、塔</w:t>
      </w:r>
      <w:proofErr w:type="gramStart"/>
      <w:r>
        <w:rPr>
          <w:rFonts w:hint="eastAsia"/>
        </w:rPr>
        <w:t>筒运输</w:t>
      </w:r>
      <w:proofErr w:type="gramEnd"/>
      <w:r>
        <w:rPr>
          <w:rFonts w:hint="eastAsia"/>
        </w:rPr>
        <w:t>方便，以及进场道路建设成本等因素。</w:t>
      </w:r>
    </w:p>
    <w:p w14:paraId="2EA9EFD9" w14:textId="77777777" w:rsidR="00A739F2" w:rsidRDefault="00597D48">
      <w:r>
        <w:t>7</w:t>
      </w:r>
      <w:r>
        <w:rPr>
          <w:rFonts w:hint="eastAsia"/>
        </w:rPr>
        <w:t>）环境保护：规划风力发电场选址时应避开自然保护区、风景区、矿区、洪水易淹没区、军事管辖区等敏感区域。</w:t>
      </w:r>
    </w:p>
    <w:p w14:paraId="486311E7" w14:textId="77777777" w:rsidR="00A739F2" w:rsidRDefault="00597D48">
      <w:r>
        <w:rPr>
          <w:rFonts w:hint="eastAsia"/>
        </w:rPr>
        <w:t>本阶段根据格林威治中尺度数据及测风塔实测数据对规划区域的风能资源分析，初步选出了具备风电开发条件的场址，在此基础上对部分场址进行现场踏勘，并结合</w:t>
      </w:r>
      <w:r>
        <w:t>1</w:t>
      </w:r>
      <w:r>
        <w:rPr>
          <w:rFonts w:hint="eastAsia"/>
        </w:rPr>
        <w:t>：</w:t>
      </w:r>
      <w:r>
        <w:t>50000</w:t>
      </w:r>
      <w:r>
        <w:rPr>
          <w:rFonts w:hint="eastAsia"/>
        </w:rPr>
        <w:t>地形图或地形分析软件，以及各场址的风能资源、地形地貌、地质、电网接入、交通运输等建设条件。考虑风</w:t>
      </w:r>
      <w:r>
        <w:rPr>
          <w:rFonts w:hint="eastAsia"/>
        </w:rPr>
        <w:t>电机组现有技术发展、运行可靠性等，本次规划布置单机容量为</w:t>
      </w:r>
      <w:r>
        <w:t>6.25</w:t>
      </w:r>
      <w:r>
        <w:rPr>
          <w:rFonts w:hint="eastAsia"/>
        </w:rPr>
        <w:t>兆瓦机组。</w:t>
      </w:r>
    </w:p>
    <w:p w14:paraId="1BB29BFE" w14:textId="77777777" w:rsidR="00A739F2" w:rsidRDefault="00597D48">
      <w:pPr>
        <w:rPr>
          <w:rFonts w:eastAsia="方正仿宋_GBK"/>
        </w:rPr>
      </w:pPr>
      <w:r>
        <w:rPr>
          <w:rFonts w:hint="eastAsia"/>
        </w:rPr>
        <w:t>光伏电站选址原则为</w:t>
      </w:r>
    </w:p>
    <w:p w14:paraId="2E172748" w14:textId="77777777" w:rsidR="00A739F2" w:rsidRDefault="00597D48">
      <w:r>
        <w:rPr>
          <w:rFonts w:hint="eastAsia"/>
        </w:rPr>
        <w:t>1</w:t>
      </w:r>
      <w:r>
        <w:rPr>
          <w:rFonts w:hint="eastAsia"/>
        </w:rPr>
        <w:t>）太阳能资源：太阳能电站选址必须以具有可开发利用的</w:t>
      </w:r>
      <w:r>
        <w:rPr>
          <w:rFonts w:hint="eastAsia"/>
        </w:rPr>
        <w:lastRenderedPageBreak/>
        <w:t>太阳能资源为前提，本阶段利用中尺度气象数据分析规划电站的太阳能资源情况。</w:t>
      </w:r>
    </w:p>
    <w:p w14:paraId="494ABDFC" w14:textId="77777777" w:rsidR="00A739F2" w:rsidRDefault="00597D48">
      <w:r>
        <w:rPr>
          <w:rFonts w:hint="eastAsia"/>
        </w:rPr>
        <w:t>2</w:t>
      </w:r>
      <w:r>
        <w:rPr>
          <w:rFonts w:hint="eastAsia"/>
        </w:rPr>
        <w:t>）建设规模：规划太阳能电站尽量集中连片，必须具备一定的开发规模。</w:t>
      </w:r>
    </w:p>
    <w:p w14:paraId="53675BAA" w14:textId="77777777" w:rsidR="00A739F2" w:rsidRDefault="00597D48">
      <w:bookmarkStart w:id="154" w:name="_Hlk162996138"/>
      <w:r>
        <w:rPr>
          <w:rFonts w:hint="eastAsia"/>
        </w:rPr>
        <w:t>3</w:t>
      </w:r>
      <w:r>
        <w:rPr>
          <w:rFonts w:hint="eastAsia"/>
        </w:rPr>
        <w:t>）地形地貌：太阳能电站场址优先选择沙地、</w:t>
      </w:r>
      <w:proofErr w:type="gramStart"/>
      <w:r>
        <w:rPr>
          <w:rFonts w:hint="eastAsia"/>
        </w:rPr>
        <w:t>裸土地</w:t>
      </w:r>
      <w:proofErr w:type="gramEnd"/>
      <w:r>
        <w:rPr>
          <w:rFonts w:hint="eastAsia"/>
        </w:rPr>
        <w:t>等未利用地类进行选址建设，尽量避免使用林地。</w:t>
      </w:r>
    </w:p>
    <w:bookmarkEnd w:id="154"/>
    <w:p w14:paraId="3F3470E9" w14:textId="77777777" w:rsidR="00A739F2" w:rsidRDefault="00597D48">
      <w:r>
        <w:rPr>
          <w:rFonts w:hint="eastAsia"/>
        </w:rPr>
        <w:t>4</w:t>
      </w:r>
      <w:r>
        <w:rPr>
          <w:rFonts w:hint="eastAsia"/>
        </w:rPr>
        <w:t>）工程地质：太阳能电站场址应避免可能出现的洪水等不良地质灾害隐患。</w:t>
      </w:r>
    </w:p>
    <w:p w14:paraId="59DC608D" w14:textId="77777777" w:rsidR="00A739F2" w:rsidRDefault="00597D48">
      <w:r>
        <w:rPr>
          <w:rFonts w:hint="eastAsia"/>
        </w:rPr>
        <w:t>5</w:t>
      </w:r>
      <w:r>
        <w:rPr>
          <w:rFonts w:hint="eastAsia"/>
        </w:rPr>
        <w:t>）接入条件：光伏电站场址尽可能靠近用电负荷及主干电网，最大限度的减少接入成本。</w:t>
      </w:r>
    </w:p>
    <w:p w14:paraId="7670ED1E" w14:textId="77777777" w:rsidR="00A739F2" w:rsidRDefault="00597D48">
      <w:r>
        <w:rPr>
          <w:rFonts w:hint="eastAsia"/>
        </w:rPr>
        <w:t>6</w:t>
      </w:r>
      <w:r>
        <w:rPr>
          <w:rFonts w:hint="eastAsia"/>
        </w:rPr>
        <w:t>）交通运输：太阳能电站选址应充分调查场区周边的现有交通情况，尽可能选在交通条件相对较好的区域。</w:t>
      </w:r>
    </w:p>
    <w:p w14:paraId="65458751" w14:textId="77777777" w:rsidR="00A739F2" w:rsidRDefault="00597D48">
      <w:r>
        <w:rPr>
          <w:rFonts w:hint="eastAsia"/>
        </w:rPr>
        <w:t>7</w:t>
      </w:r>
      <w:r>
        <w:rPr>
          <w:rFonts w:hint="eastAsia"/>
        </w:rPr>
        <w:t>）环境保护：太阳能电站选址时应避开自然保护区、风景区、矿区、洪水易淹没区、军事管辖区等敏感区域。</w:t>
      </w:r>
    </w:p>
    <w:p w14:paraId="37650C29" w14:textId="77777777" w:rsidR="00A739F2" w:rsidRDefault="00597D48">
      <w:r>
        <w:rPr>
          <w:rFonts w:hint="eastAsia"/>
        </w:rPr>
        <w:t>本阶段根据数据库数据对规划区域的太阳能资源分析，初步选出了具备太阳能资源开发条件的场址，在此基础上对规划场址进行了现场踏勘，并结合</w:t>
      </w:r>
      <w:r>
        <w:rPr>
          <w:rFonts w:hint="eastAsia"/>
        </w:rPr>
        <w:t>1:50000</w:t>
      </w:r>
      <w:r>
        <w:rPr>
          <w:rFonts w:hint="eastAsia"/>
        </w:rPr>
        <w:t>地形图或地形分析软</w:t>
      </w:r>
      <w:r>
        <w:rPr>
          <w:rFonts w:hint="eastAsia"/>
        </w:rPr>
        <w:t>件及光伏电站规划与设计系统软件，以及各场址的太阳能资源、地形地貌、地质、电网接入、交通运输等建设条件。本次规划光伏组件采用固定式安装。</w:t>
      </w:r>
    </w:p>
    <w:p w14:paraId="3A9063A7" w14:textId="77777777" w:rsidR="00A739F2" w:rsidRDefault="00597D48">
      <w:pPr>
        <w:pStyle w:val="af6"/>
        <w:rPr>
          <w:rFonts w:ascii="Times New Roman" w:hAnsi="Times New Roman"/>
        </w:rPr>
      </w:pPr>
      <w:bookmarkStart w:id="155" w:name="_Toc24085"/>
      <w:bookmarkStart w:id="156" w:name="_Toc7912"/>
      <w:bookmarkStart w:id="157" w:name="_Toc31604"/>
      <w:bookmarkStart w:id="158" w:name="_Toc429"/>
      <w:bookmarkStart w:id="159" w:name="_Toc26581"/>
      <w:bookmarkStart w:id="160" w:name="_Toc11622"/>
      <w:bookmarkStart w:id="161" w:name="_Toc5144"/>
      <w:bookmarkStart w:id="162" w:name="_Toc19575"/>
      <w:r>
        <w:rPr>
          <w:rFonts w:ascii="Times New Roman" w:hAnsi="Times New Roman" w:hint="eastAsia"/>
        </w:rPr>
        <w:lastRenderedPageBreak/>
        <w:t>（二）布局成果</w:t>
      </w:r>
      <w:bookmarkEnd w:id="155"/>
      <w:bookmarkEnd w:id="156"/>
      <w:bookmarkEnd w:id="157"/>
    </w:p>
    <w:p w14:paraId="504BC094" w14:textId="77777777" w:rsidR="00A739F2" w:rsidRDefault="00597D48">
      <w:r>
        <w:rPr>
          <w:rFonts w:hint="eastAsia"/>
        </w:rPr>
        <w:t>根据布局原则，基于康巴什区风电、光伏宏观选址成果，在康巴什区配置</w:t>
      </w:r>
      <w:r>
        <w:rPr>
          <w:rFonts w:hint="eastAsia"/>
        </w:rPr>
        <w:t>431</w:t>
      </w:r>
      <w:r>
        <w:rPr>
          <w:rFonts w:hint="eastAsia"/>
        </w:rPr>
        <w:t>万千瓦风光项目，其中集中式风电</w:t>
      </w:r>
      <w:r>
        <w:rPr>
          <w:rFonts w:hint="eastAsia"/>
        </w:rPr>
        <w:t>80</w:t>
      </w:r>
      <w:r>
        <w:rPr>
          <w:rFonts w:hint="eastAsia"/>
        </w:rPr>
        <w:t>万千瓦，分散式风电</w:t>
      </w:r>
      <w:r>
        <w:rPr>
          <w:rFonts w:hint="eastAsia"/>
        </w:rPr>
        <w:t>3</w:t>
      </w:r>
      <w:r>
        <w:rPr>
          <w:rFonts w:hint="eastAsia"/>
        </w:rPr>
        <w:t>万千瓦，集中式光伏</w:t>
      </w:r>
      <w:r>
        <w:rPr>
          <w:rFonts w:hint="eastAsia"/>
        </w:rPr>
        <w:t>330</w:t>
      </w:r>
      <w:r>
        <w:rPr>
          <w:rFonts w:hint="eastAsia"/>
        </w:rPr>
        <w:t>万千瓦，分布式光伏</w:t>
      </w:r>
      <w:r>
        <w:rPr>
          <w:rFonts w:hint="eastAsia"/>
        </w:rPr>
        <w:t>18</w:t>
      </w:r>
      <w:r>
        <w:rPr>
          <w:rFonts w:hint="eastAsia"/>
        </w:rPr>
        <w:t>万千瓦。近期开发新能源项目</w:t>
      </w:r>
      <w:r>
        <w:rPr>
          <w:rFonts w:hint="eastAsia"/>
        </w:rPr>
        <w:t>100</w:t>
      </w:r>
      <w:r>
        <w:rPr>
          <w:rFonts w:hint="eastAsia"/>
        </w:rPr>
        <w:t>万千瓦，其中集中式风电</w:t>
      </w:r>
      <w:r>
        <w:rPr>
          <w:rFonts w:hint="eastAsia"/>
        </w:rPr>
        <w:t>25</w:t>
      </w:r>
      <w:r>
        <w:rPr>
          <w:rFonts w:hint="eastAsia"/>
        </w:rPr>
        <w:t>万千瓦，分散式风电</w:t>
      </w:r>
      <w:r>
        <w:rPr>
          <w:rFonts w:hint="eastAsia"/>
        </w:rPr>
        <w:t>3</w:t>
      </w:r>
      <w:r>
        <w:rPr>
          <w:rFonts w:hint="eastAsia"/>
        </w:rPr>
        <w:t>万千瓦，集中式光伏</w:t>
      </w:r>
      <w:r>
        <w:rPr>
          <w:rFonts w:hint="eastAsia"/>
        </w:rPr>
        <w:t>65</w:t>
      </w:r>
      <w:r>
        <w:rPr>
          <w:rFonts w:hint="eastAsia"/>
        </w:rPr>
        <w:t>万千瓦，分布式光伏</w:t>
      </w:r>
      <w:r>
        <w:rPr>
          <w:rFonts w:hint="eastAsia"/>
        </w:rPr>
        <w:t>7</w:t>
      </w:r>
      <w:r>
        <w:rPr>
          <w:rFonts w:hint="eastAsia"/>
        </w:rPr>
        <w:t>万千瓦；远期开发风光同场项目共计</w:t>
      </w:r>
      <w:r>
        <w:rPr>
          <w:rFonts w:hint="eastAsia"/>
        </w:rPr>
        <w:t>331</w:t>
      </w:r>
      <w:r>
        <w:rPr>
          <w:rFonts w:hint="eastAsia"/>
        </w:rPr>
        <w:t>万千瓦，其中风电</w:t>
      </w:r>
      <w:r>
        <w:rPr>
          <w:rFonts w:hint="eastAsia"/>
        </w:rPr>
        <w:t>55</w:t>
      </w:r>
      <w:r>
        <w:rPr>
          <w:rFonts w:hint="eastAsia"/>
        </w:rPr>
        <w:t>万千瓦，光伏</w:t>
      </w:r>
      <w:r>
        <w:rPr>
          <w:rFonts w:hint="eastAsia"/>
        </w:rPr>
        <w:t>265</w:t>
      </w:r>
      <w:r>
        <w:rPr>
          <w:rFonts w:hint="eastAsia"/>
        </w:rPr>
        <w:t>万千瓦，开发分布式光伏</w:t>
      </w:r>
      <w:r>
        <w:rPr>
          <w:rFonts w:hint="eastAsia"/>
        </w:rPr>
        <w:t>11</w:t>
      </w:r>
      <w:r>
        <w:rPr>
          <w:rFonts w:hint="eastAsia"/>
        </w:rPr>
        <w:t>万千瓦。</w:t>
      </w:r>
    </w:p>
    <w:p w14:paraId="0527CF7A" w14:textId="77777777" w:rsidR="00A739F2" w:rsidRDefault="00597D48">
      <w:pPr>
        <w:sectPr w:rsidR="00A739F2">
          <w:footerReference w:type="even" r:id="rId31"/>
          <w:footerReference w:type="default" r:id="rId32"/>
          <w:pgSz w:w="11906" w:h="16838"/>
          <w:pgMar w:top="2098" w:right="1474" w:bottom="1984" w:left="1587" w:header="850" w:footer="1417" w:gutter="0"/>
          <w:cols w:space="0"/>
          <w:docGrid w:type="linesAndChars" w:linePitch="312"/>
        </w:sectPr>
      </w:pPr>
      <w:r>
        <w:rPr>
          <w:rFonts w:hint="eastAsia"/>
        </w:rPr>
        <w:t>集中式项目规划场区主要位于康巴什区市区东部及西部，推荐场址分布如下图所示。除已批复</w:t>
      </w:r>
      <w:proofErr w:type="gramStart"/>
      <w:r>
        <w:rPr>
          <w:rFonts w:hint="eastAsia"/>
        </w:rPr>
        <w:t>的京能火电</w:t>
      </w:r>
      <w:proofErr w:type="gramEnd"/>
      <w:r>
        <w:rPr>
          <w:rFonts w:hint="eastAsia"/>
        </w:rPr>
        <w:t>灵活性改造消</w:t>
      </w:r>
      <w:proofErr w:type="gramStart"/>
      <w:r>
        <w:rPr>
          <w:rFonts w:hint="eastAsia"/>
        </w:rPr>
        <w:t>纳光伏项目</w:t>
      </w:r>
      <w:proofErr w:type="gramEnd"/>
      <w:r>
        <w:rPr>
          <w:rFonts w:hint="eastAsia"/>
        </w:rPr>
        <w:t>14</w:t>
      </w:r>
      <w:r>
        <w:rPr>
          <w:rFonts w:hint="eastAsia"/>
        </w:rPr>
        <w:t>万千瓦外，规划集中式光伏场址</w:t>
      </w:r>
      <w:r>
        <w:rPr>
          <w:rFonts w:hint="eastAsia"/>
        </w:rPr>
        <w:t>1</w:t>
      </w:r>
      <w:r>
        <w:rPr>
          <w:rFonts w:hint="eastAsia"/>
        </w:rPr>
        <w:t>个（</w:t>
      </w:r>
      <w:r>
        <w:rPr>
          <w:rFonts w:hint="eastAsia"/>
        </w:rPr>
        <w:t>1#</w:t>
      </w:r>
      <w:r>
        <w:rPr>
          <w:rFonts w:hint="eastAsia"/>
        </w:rPr>
        <w:t>光伏治沙场区），可开发规模约</w:t>
      </w:r>
      <w:r>
        <w:rPr>
          <w:rFonts w:hint="eastAsia"/>
        </w:rPr>
        <w:t>40</w:t>
      </w:r>
      <w:r>
        <w:rPr>
          <w:rFonts w:hint="eastAsia"/>
        </w:rPr>
        <w:t>万千瓦；规划集中式风电场址</w:t>
      </w:r>
      <w:r>
        <w:rPr>
          <w:rFonts w:hint="eastAsia"/>
        </w:rPr>
        <w:t>1</w:t>
      </w:r>
      <w:r>
        <w:rPr>
          <w:rFonts w:hint="eastAsia"/>
        </w:rPr>
        <w:t>个（</w:t>
      </w:r>
      <w:r>
        <w:rPr>
          <w:rFonts w:hint="eastAsia"/>
        </w:rPr>
        <w:t>1#</w:t>
      </w:r>
      <w:r>
        <w:rPr>
          <w:rFonts w:hint="eastAsia"/>
        </w:rPr>
        <w:t>风电场区），可开发规模约</w:t>
      </w:r>
      <w:r>
        <w:rPr>
          <w:rFonts w:hint="eastAsia"/>
        </w:rPr>
        <w:t>15</w:t>
      </w:r>
      <w:r>
        <w:rPr>
          <w:rFonts w:hint="eastAsia"/>
        </w:rPr>
        <w:t>万千瓦；规划风光同场场址</w:t>
      </w:r>
      <w:r>
        <w:rPr>
          <w:rFonts w:hint="eastAsia"/>
        </w:rPr>
        <w:t>4</w:t>
      </w:r>
      <w:r>
        <w:rPr>
          <w:rFonts w:hint="eastAsia"/>
        </w:rPr>
        <w:t>个（</w:t>
      </w:r>
      <w:r>
        <w:rPr>
          <w:rFonts w:hint="eastAsia"/>
        </w:rPr>
        <w:t>1#</w:t>
      </w:r>
      <w:r>
        <w:rPr>
          <w:rFonts w:hint="eastAsia"/>
        </w:rPr>
        <w:t>至</w:t>
      </w:r>
      <w:r>
        <w:rPr>
          <w:rFonts w:hint="eastAsia"/>
        </w:rPr>
        <w:t>4#</w:t>
      </w:r>
      <w:r>
        <w:rPr>
          <w:rFonts w:hint="eastAsia"/>
        </w:rPr>
        <w:t>风光同场场区），可开发规模约</w:t>
      </w:r>
      <w:r>
        <w:rPr>
          <w:rFonts w:hint="eastAsia"/>
        </w:rPr>
        <w:t>355</w:t>
      </w:r>
      <w:r>
        <w:rPr>
          <w:rFonts w:hint="eastAsia"/>
        </w:rPr>
        <w:t>万千瓦。</w:t>
      </w:r>
    </w:p>
    <w:p w14:paraId="634F2966" w14:textId="77777777" w:rsidR="00A739F2" w:rsidRDefault="00A739F2"/>
    <w:p w14:paraId="6EF42317" w14:textId="77777777" w:rsidR="00A739F2" w:rsidRDefault="00597D48">
      <w:pPr>
        <w:ind w:firstLineChars="0" w:firstLine="0"/>
        <w:jc w:val="center"/>
        <w:rPr>
          <w:rFonts w:eastAsia="仿宋" w:cs="Times New Roman"/>
        </w:rPr>
      </w:pPr>
      <w:r>
        <w:rPr>
          <w:rFonts w:eastAsia="仿宋" w:cs="Times New Roman" w:hint="eastAsia"/>
          <w:noProof/>
        </w:rPr>
        <w:drawing>
          <wp:inline distT="0" distB="0" distL="114300" distR="114300" wp14:anchorId="78522780" wp14:editId="02C263E6">
            <wp:extent cx="8513445" cy="4194175"/>
            <wp:effectExtent l="15875" t="15875" r="20320" b="26670"/>
            <wp:docPr id="12" name="图片 12" descr="ac3ced7020944c0c2f5cbb0f8b02e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c3ced7020944c0c2f5cbb0f8b02e9c"/>
                    <pic:cNvPicPr>
                      <a:picLocks noChangeAspect="1"/>
                    </pic:cNvPicPr>
                  </pic:nvPicPr>
                  <pic:blipFill>
                    <a:blip r:embed="rId33"/>
                    <a:stretch>
                      <a:fillRect/>
                    </a:stretch>
                  </pic:blipFill>
                  <pic:spPr>
                    <a:xfrm>
                      <a:off x="0" y="0"/>
                      <a:ext cx="8513445" cy="4194175"/>
                    </a:xfrm>
                    <a:prstGeom prst="rect">
                      <a:avLst/>
                    </a:prstGeom>
                    <a:ln w="15875" cmpd="sng">
                      <a:solidFill>
                        <a:schemeClr val="tx1"/>
                      </a:solidFill>
                      <a:prstDash val="solid"/>
                    </a:ln>
                  </pic:spPr>
                </pic:pic>
              </a:graphicData>
            </a:graphic>
          </wp:inline>
        </w:drawing>
      </w:r>
    </w:p>
    <w:p w14:paraId="26F31EEB" w14:textId="77777777" w:rsidR="00A739F2" w:rsidRDefault="00597D48">
      <w:pPr>
        <w:ind w:firstLine="562"/>
        <w:jc w:val="center"/>
        <w:rPr>
          <w:rFonts w:cs="Times New Roman"/>
          <w:sz w:val="28"/>
        </w:rPr>
        <w:sectPr w:rsidR="00A739F2">
          <w:pgSz w:w="16838" w:h="11906" w:orient="landscape"/>
          <w:pgMar w:top="1587" w:right="2098" w:bottom="1474" w:left="1984" w:header="850" w:footer="1417" w:gutter="0"/>
          <w:cols w:space="0"/>
          <w:docGrid w:type="linesAndChars" w:linePitch="312"/>
        </w:sectPr>
      </w:pPr>
      <w:r>
        <w:rPr>
          <w:rFonts w:cs="Times New Roman" w:hint="eastAsia"/>
          <w:b/>
          <w:sz w:val="28"/>
        </w:rPr>
        <w:t>图</w:t>
      </w:r>
      <w:r>
        <w:rPr>
          <w:rFonts w:cs="Times New Roman" w:hint="eastAsia"/>
          <w:b/>
          <w:sz w:val="28"/>
        </w:rPr>
        <w:t>4</w:t>
      </w:r>
      <w:r>
        <w:rPr>
          <w:rFonts w:cs="Times New Roman"/>
          <w:b/>
          <w:sz w:val="28"/>
        </w:rPr>
        <w:t>.2-1</w:t>
      </w:r>
      <w:r>
        <w:rPr>
          <w:rFonts w:cs="Times New Roman" w:hint="eastAsia"/>
          <w:b/>
          <w:sz w:val="28"/>
        </w:rPr>
        <w:t>康巴什区规划项目</w:t>
      </w:r>
      <w:r>
        <w:rPr>
          <w:rFonts w:cs="Times New Roman"/>
          <w:b/>
          <w:sz w:val="28"/>
        </w:rPr>
        <w:t>场址示意图</w:t>
      </w:r>
    </w:p>
    <w:p w14:paraId="57F5F70F" w14:textId="77777777" w:rsidR="00A739F2" w:rsidRDefault="00597D48">
      <w:pPr>
        <w:pStyle w:val="af6"/>
        <w:rPr>
          <w:rFonts w:ascii="Times New Roman" w:hAnsi="Times New Roman"/>
        </w:rPr>
      </w:pPr>
      <w:bookmarkStart w:id="163" w:name="_Toc13035"/>
      <w:bookmarkStart w:id="164" w:name="_Toc1928"/>
      <w:bookmarkStart w:id="165" w:name="_Toc1134"/>
      <w:bookmarkStart w:id="166" w:name="_Toc1137"/>
      <w:bookmarkStart w:id="167" w:name="_Toc7089"/>
      <w:bookmarkStart w:id="168" w:name="_Toc13342"/>
      <w:bookmarkStart w:id="169" w:name="_Toc13216"/>
      <w:bookmarkEnd w:id="158"/>
      <w:bookmarkEnd w:id="159"/>
      <w:bookmarkEnd w:id="160"/>
      <w:bookmarkEnd w:id="161"/>
      <w:bookmarkEnd w:id="162"/>
      <w:r>
        <w:rPr>
          <w:rFonts w:ascii="Times New Roman" w:hAnsi="Times New Roman" w:hint="eastAsia"/>
        </w:rPr>
        <w:lastRenderedPageBreak/>
        <w:t>（三）建设时序</w:t>
      </w:r>
      <w:bookmarkEnd w:id="163"/>
      <w:bookmarkEnd w:id="164"/>
      <w:bookmarkEnd w:id="165"/>
      <w:bookmarkEnd w:id="166"/>
      <w:bookmarkEnd w:id="167"/>
      <w:bookmarkEnd w:id="168"/>
      <w:bookmarkEnd w:id="169"/>
    </w:p>
    <w:p w14:paraId="1213E48D" w14:textId="77777777" w:rsidR="00A739F2" w:rsidRDefault="00597D48">
      <w:r>
        <w:rPr>
          <w:rFonts w:hint="eastAsia"/>
        </w:rPr>
        <w:t>优先发展资源条件较好、与相关规划协调、消纳及接入条件落实，政策明确支持的新能源项目。此外，考虑为城市发展留有空间裕度，优先发展距离城镇规划区域较远的新能源场址及存量项目周边连续开发的新能源场址。综合以上因素，康巴什区新能源规划容量及开发时序汇总见表</w:t>
      </w:r>
      <w:r>
        <w:t>4.3-1</w:t>
      </w:r>
      <w:r>
        <w:rPr>
          <w:rFonts w:hint="eastAsia"/>
        </w:rPr>
        <w:t>。</w:t>
      </w:r>
    </w:p>
    <w:p w14:paraId="2033B07E" w14:textId="77777777" w:rsidR="00A739F2" w:rsidRDefault="00597D48">
      <w:pPr>
        <w:pStyle w:val="af4"/>
      </w:pPr>
      <w:r>
        <w:rPr>
          <w:rFonts w:hint="eastAsia"/>
        </w:rPr>
        <w:t>表</w:t>
      </w:r>
      <w:r>
        <w:rPr>
          <w:rFonts w:hint="eastAsia"/>
        </w:rPr>
        <w:t>4</w:t>
      </w:r>
      <w:r>
        <w:t xml:space="preserve">.3-1 </w:t>
      </w:r>
      <w:r>
        <w:rPr>
          <w:rFonts w:hint="eastAsia"/>
        </w:rPr>
        <w:t>康巴什区新能源规划项目开发时序表</w:t>
      </w:r>
    </w:p>
    <w:tbl>
      <w:tblPr>
        <w:tblW w:w="5000" w:type="pct"/>
        <w:tblLayout w:type="fixed"/>
        <w:tblLook w:val="04A0" w:firstRow="1" w:lastRow="0" w:firstColumn="1" w:lastColumn="0" w:noHBand="0" w:noVBand="1"/>
      </w:tblPr>
      <w:tblGrid>
        <w:gridCol w:w="899"/>
        <w:gridCol w:w="3001"/>
        <w:gridCol w:w="960"/>
        <w:gridCol w:w="863"/>
        <w:gridCol w:w="979"/>
        <w:gridCol w:w="1067"/>
        <w:gridCol w:w="1292"/>
      </w:tblGrid>
      <w:tr w:rsidR="00A739F2" w14:paraId="7C07A8A9" w14:textId="77777777">
        <w:trPr>
          <w:trHeight w:val="285"/>
        </w:trPr>
        <w:tc>
          <w:tcPr>
            <w:tcW w:w="49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069F3F" w14:textId="77777777" w:rsidR="00A739F2" w:rsidRDefault="00597D48">
            <w:pPr>
              <w:widowControl/>
              <w:ind w:firstLineChars="0" w:firstLine="0"/>
              <w:jc w:val="center"/>
              <w:rPr>
                <w:rFonts w:cs="楷体_GB2312"/>
                <w:bCs/>
                <w:color w:val="000000" w:themeColor="text1"/>
                <w:kern w:val="0"/>
                <w:sz w:val="20"/>
                <w:szCs w:val="21"/>
              </w:rPr>
            </w:pPr>
            <w:r>
              <w:rPr>
                <w:rFonts w:cs="楷体_GB2312" w:hint="eastAsia"/>
                <w:bCs/>
                <w:color w:val="000000" w:themeColor="text1"/>
                <w:kern w:val="0"/>
                <w:sz w:val="20"/>
                <w:szCs w:val="21"/>
                <w:lang w:bidi="ar"/>
              </w:rPr>
              <w:t>分类</w:t>
            </w: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182D0B" w14:textId="77777777" w:rsidR="00A739F2" w:rsidRDefault="00597D48">
            <w:pPr>
              <w:widowControl/>
              <w:ind w:firstLineChars="0" w:firstLine="0"/>
              <w:jc w:val="center"/>
              <w:rPr>
                <w:rFonts w:cs="楷体_GB2312"/>
                <w:bCs/>
                <w:color w:val="000000" w:themeColor="text1"/>
                <w:kern w:val="0"/>
                <w:sz w:val="20"/>
                <w:szCs w:val="21"/>
              </w:rPr>
            </w:pPr>
            <w:r>
              <w:rPr>
                <w:rFonts w:cs="楷体_GB2312" w:hint="eastAsia"/>
                <w:bCs/>
                <w:color w:val="000000" w:themeColor="text1"/>
                <w:kern w:val="0"/>
                <w:sz w:val="20"/>
                <w:szCs w:val="21"/>
                <w:lang w:bidi="ar"/>
              </w:rPr>
              <w:t>时序</w:t>
            </w:r>
          </w:p>
        </w:tc>
        <w:tc>
          <w:tcPr>
            <w:tcW w:w="1006"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84F443" w14:textId="77777777" w:rsidR="00A739F2" w:rsidRDefault="00597D48">
            <w:pPr>
              <w:widowControl/>
              <w:ind w:firstLineChars="0" w:firstLine="0"/>
              <w:jc w:val="center"/>
              <w:rPr>
                <w:rFonts w:cs="楷体_GB2312"/>
                <w:bCs/>
                <w:color w:val="000000" w:themeColor="text1"/>
                <w:kern w:val="0"/>
                <w:sz w:val="20"/>
                <w:szCs w:val="21"/>
              </w:rPr>
            </w:pPr>
            <w:r>
              <w:rPr>
                <w:rFonts w:cs="楷体_GB2312" w:hint="eastAsia"/>
                <w:bCs/>
                <w:color w:val="000000" w:themeColor="text1"/>
                <w:kern w:val="0"/>
                <w:sz w:val="20"/>
                <w:szCs w:val="21"/>
                <w:lang w:bidi="ar"/>
              </w:rPr>
              <w:t>近期开发</w:t>
            </w:r>
          </w:p>
        </w:tc>
        <w:tc>
          <w:tcPr>
            <w:tcW w:w="112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9B6C28" w14:textId="77777777" w:rsidR="00A739F2" w:rsidRDefault="00597D48">
            <w:pPr>
              <w:widowControl/>
              <w:ind w:firstLineChars="0" w:firstLine="0"/>
              <w:jc w:val="center"/>
              <w:rPr>
                <w:rFonts w:cs="楷体_GB2312"/>
                <w:bCs/>
                <w:color w:val="000000" w:themeColor="text1"/>
                <w:kern w:val="0"/>
                <w:sz w:val="20"/>
                <w:szCs w:val="21"/>
              </w:rPr>
            </w:pPr>
            <w:r>
              <w:rPr>
                <w:rFonts w:cs="楷体_GB2312" w:hint="eastAsia"/>
                <w:bCs/>
                <w:color w:val="000000" w:themeColor="text1"/>
                <w:kern w:val="0"/>
                <w:sz w:val="20"/>
                <w:szCs w:val="21"/>
                <w:lang w:bidi="ar"/>
              </w:rPr>
              <w:t>远期开发</w:t>
            </w:r>
          </w:p>
        </w:tc>
        <w:tc>
          <w:tcPr>
            <w:tcW w:w="713"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910EC1" w14:textId="77777777" w:rsidR="00A739F2" w:rsidRDefault="00597D48">
            <w:pPr>
              <w:widowControl/>
              <w:ind w:firstLineChars="0" w:firstLine="0"/>
              <w:jc w:val="center"/>
              <w:rPr>
                <w:rFonts w:cs="楷体_GB2312"/>
                <w:bCs/>
                <w:color w:val="000000" w:themeColor="text1"/>
                <w:kern w:val="0"/>
                <w:sz w:val="20"/>
                <w:szCs w:val="21"/>
                <w:lang w:bidi="ar"/>
              </w:rPr>
            </w:pPr>
            <w:r>
              <w:rPr>
                <w:rFonts w:cs="楷体_GB2312" w:hint="eastAsia"/>
                <w:bCs/>
                <w:color w:val="000000" w:themeColor="text1"/>
                <w:kern w:val="0"/>
                <w:sz w:val="20"/>
                <w:szCs w:val="21"/>
                <w:lang w:bidi="ar"/>
              </w:rPr>
              <w:t>合计</w:t>
            </w:r>
          </w:p>
          <w:p w14:paraId="04EFBBE3"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bCs/>
                <w:color w:val="000000" w:themeColor="text1"/>
                <w:kern w:val="0"/>
                <w:sz w:val="20"/>
                <w:szCs w:val="21"/>
                <w:lang w:bidi="ar"/>
              </w:rPr>
              <w:t>（</w:t>
            </w:r>
            <w:r>
              <w:rPr>
                <w:rFonts w:cs="楷体_GB2312" w:hint="eastAsia"/>
                <w:bCs/>
                <w:color w:val="000000" w:themeColor="text1"/>
                <w:kern w:val="0"/>
                <w:sz w:val="20"/>
                <w:szCs w:val="21"/>
                <w:lang w:bidi="ar"/>
              </w:rPr>
              <w:t>MW</w:t>
            </w:r>
            <w:r>
              <w:rPr>
                <w:rFonts w:cs="楷体_GB2312" w:hint="eastAsia"/>
                <w:bCs/>
                <w:color w:val="000000" w:themeColor="text1"/>
                <w:kern w:val="0"/>
                <w:sz w:val="20"/>
                <w:szCs w:val="21"/>
                <w:lang w:bidi="ar"/>
              </w:rPr>
              <w:t>）</w:t>
            </w:r>
          </w:p>
        </w:tc>
      </w:tr>
      <w:tr w:rsidR="00A739F2" w14:paraId="39821976" w14:textId="77777777">
        <w:trPr>
          <w:trHeight w:val="285"/>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DE5A3F" w14:textId="77777777" w:rsidR="00A739F2" w:rsidRDefault="00A739F2">
            <w:pPr>
              <w:ind w:firstLine="400"/>
              <w:jc w:val="center"/>
              <w:rPr>
                <w:rFonts w:cs="楷体_GB2312"/>
                <w:bCs/>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3910A9" w14:textId="77777777" w:rsidR="00A739F2" w:rsidRDefault="00597D48">
            <w:pPr>
              <w:widowControl/>
              <w:ind w:firstLineChars="0" w:firstLine="0"/>
              <w:jc w:val="center"/>
              <w:rPr>
                <w:rFonts w:cs="楷体_GB2312"/>
                <w:bCs/>
                <w:color w:val="000000" w:themeColor="text1"/>
                <w:kern w:val="0"/>
                <w:sz w:val="20"/>
                <w:szCs w:val="21"/>
              </w:rPr>
            </w:pPr>
            <w:r>
              <w:rPr>
                <w:rFonts w:cs="楷体_GB2312" w:hint="eastAsia"/>
                <w:bCs/>
                <w:color w:val="000000" w:themeColor="text1"/>
                <w:kern w:val="0"/>
                <w:sz w:val="20"/>
                <w:szCs w:val="21"/>
                <w:lang w:bidi="ar"/>
              </w:rPr>
              <w:t>项目名称</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40DAD7" w14:textId="77777777" w:rsidR="00A739F2" w:rsidRDefault="00597D48">
            <w:pPr>
              <w:widowControl/>
              <w:ind w:leftChars="-37" w:left="-118" w:rightChars="-28" w:right="-90" w:firstLineChars="0" w:firstLine="0"/>
              <w:jc w:val="center"/>
              <w:rPr>
                <w:rFonts w:cs="楷体_GB2312"/>
                <w:bCs/>
                <w:color w:val="000000" w:themeColor="text1"/>
                <w:kern w:val="0"/>
                <w:sz w:val="20"/>
                <w:szCs w:val="21"/>
              </w:rPr>
            </w:pPr>
            <w:r>
              <w:rPr>
                <w:rFonts w:cs="楷体_GB2312" w:hint="eastAsia"/>
                <w:bCs/>
                <w:color w:val="000000" w:themeColor="text1"/>
                <w:kern w:val="0"/>
                <w:sz w:val="20"/>
                <w:szCs w:val="21"/>
                <w:lang w:bidi="ar"/>
              </w:rPr>
              <w:t>风电（</w:t>
            </w:r>
            <w:r>
              <w:rPr>
                <w:rFonts w:cs="楷体_GB2312" w:hint="eastAsia"/>
                <w:bCs/>
                <w:color w:val="000000" w:themeColor="text1"/>
                <w:kern w:val="0"/>
                <w:sz w:val="20"/>
                <w:szCs w:val="21"/>
                <w:lang w:bidi="ar"/>
              </w:rPr>
              <w:t>MW</w:t>
            </w:r>
            <w:r>
              <w:rPr>
                <w:rFonts w:cs="楷体_GB2312" w:hint="eastAsia"/>
                <w:bCs/>
                <w:color w:val="000000" w:themeColor="text1"/>
                <w:kern w:val="0"/>
                <w:sz w:val="20"/>
                <w:szCs w:val="21"/>
                <w:lang w:bidi="ar"/>
              </w:rPr>
              <w:t>）</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1853D4" w14:textId="77777777" w:rsidR="00A739F2" w:rsidRDefault="00597D48">
            <w:pPr>
              <w:widowControl/>
              <w:ind w:leftChars="-43" w:left="-138" w:rightChars="-39" w:right="-125" w:firstLineChars="0" w:firstLine="0"/>
              <w:jc w:val="center"/>
              <w:rPr>
                <w:rFonts w:cs="楷体_GB2312"/>
                <w:bCs/>
                <w:color w:val="000000" w:themeColor="text1"/>
                <w:kern w:val="0"/>
                <w:sz w:val="20"/>
                <w:szCs w:val="21"/>
              </w:rPr>
            </w:pPr>
            <w:r>
              <w:rPr>
                <w:rFonts w:cs="楷体_GB2312" w:hint="eastAsia"/>
                <w:bCs/>
                <w:color w:val="000000" w:themeColor="text1"/>
                <w:kern w:val="0"/>
                <w:sz w:val="20"/>
                <w:szCs w:val="21"/>
                <w:lang w:bidi="ar"/>
              </w:rPr>
              <w:t>光伏（</w:t>
            </w:r>
            <w:r>
              <w:rPr>
                <w:rFonts w:cs="楷体_GB2312" w:hint="eastAsia"/>
                <w:bCs/>
                <w:color w:val="000000" w:themeColor="text1"/>
                <w:kern w:val="0"/>
                <w:sz w:val="20"/>
                <w:szCs w:val="21"/>
                <w:lang w:bidi="ar"/>
              </w:rPr>
              <w:t>MW</w:t>
            </w:r>
            <w:r>
              <w:rPr>
                <w:rFonts w:cs="楷体_GB2312" w:hint="eastAsia"/>
                <w:bCs/>
                <w:color w:val="000000" w:themeColor="text1"/>
                <w:kern w:val="0"/>
                <w:sz w:val="20"/>
                <w:szCs w:val="21"/>
                <w:lang w:bidi="ar"/>
              </w:rPr>
              <w:t>）</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54D13E" w14:textId="77777777" w:rsidR="00A739F2" w:rsidRDefault="00597D48">
            <w:pPr>
              <w:widowControl/>
              <w:ind w:firstLineChars="0" w:firstLine="0"/>
              <w:jc w:val="center"/>
              <w:rPr>
                <w:rFonts w:cs="楷体_GB2312"/>
                <w:bCs/>
                <w:color w:val="000000" w:themeColor="text1"/>
                <w:kern w:val="0"/>
                <w:sz w:val="20"/>
                <w:szCs w:val="21"/>
              </w:rPr>
            </w:pPr>
            <w:r>
              <w:rPr>
                <w:rFonts w:cs="楷体_GB2312" w:hint="eastAsia"/>
                <w:bCs/>
                <w:color w:val="000000" w:themeColor="text1"/>
                <w:kern w:val="0"/>
                <w:sz w:val="20"/>
                <w:szCs w:val="21"/>
                <w:lang w:bidi="ar"/>
              </w:rPr>
              <w:t>风电（</w:t>
            </w:r>
            <w:r>
              <w:rPr>
                <w:rFonts w:cs="楷体_GB2312" w:hint="eastAsia"/>
                <w:bCs/>
                <w:color w:val="000000" w:themeColor="text1"/>
                <w:kern w:val="0"/>
                <w:sz w:val="20"/>
                <w:szCs w:val="21"/>
                <w:lang w:bidi="ar"/>
              </w:rPr>
              <w:t>MW</w:t>
            </w:r>
            <w:r>
              <w:rPr>
                <w:rFonts w:cs="楷体_GB2312" w:hint="eastAsia"/>
                <w:bCs/>
                <w:color w:val="000000" w:themeColor="text1"/>
                <w:kern w:val="0"/>
                <w:sz w:val="20"/>
                <w:szCs w:val="21"/>
                <w:lang w:bidi="ar"/>
              </w:rPr>
              <w:t>）</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EC20A5" w14:textId="77777777" w:rsidR="00A739F2" w:rsidRDefault="00597D48">
            <w:pPr>
              <w:widowControl/>
              <w:ind w:firstLineChars="0" w:firstLine="0"/>
              <w:jc w:val="center"/>
              <w:rPr>
                <w:rFonts w:cs="楷体_GB2312"/>
                <w:bCs/>
                <w:color w:val="000000" w:themeColor="text1"/>
                <w:kern w:val="0"/>
                <w:sz w:val="20"/>
                <w:szCs w:val="21"/>
              </w:rPr>
            </w:pPr>
            <w:r>
              <w:rPr>
                <w:rFonts w:cs="楷体_GB2312" w:hint="eastAsia"/>
                <w:bCs/>
                <w:color w:val="000000" w:themeColor="text1"/>
                <w:kern w:val="0"/>
                <w:sz w:val="20"/>
                <w:szCs w:val="21"/>
                <w:lang w:bidi="ar"/>
              </w:rPr>
              <w:t>光伏（</w:t>
            </w:r>
            <w:r>
              <w:rPr>
                <w:rFonts w:cs="楷体_GB2312" w:hint="eastAsia"/>
                <w:bCs/>
                <w:color w:val="000000" w:themeColor="text1"/>
                <w:kern w:val="0"/>
                <w:sz w:val="20"/>
                <w:szCs w:val="21"/>
                <w:lang w:bidi="ar"/>
              </w:rPr>
              <w:t>MW</w:t>
            </w:r>
            <w:r>
              <w:rPr>
                <w:rFonts w:cs="楷体_GB2312" w:hint="eastAsia"/>
                <w:bCs/>
                <w:color w:val="000000" w:themeColor="text1"/>
                <w:kern w:val="0"/>
                <w:sz w:val="20"/>
                <w:szCs w:val="21"/>
                <w:lang w:bidi="ar"/>
              </w:rPr>
              <w:t>）</w:t>
            </w:r>
          </w:p>
        </w:tc>
        <w:tc>
          <w:tcPr>
            <w:tcW w:w="713"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D5426" w14:textId="77777777" w:rsidR="00A739F2" w:rsidRDefault="00A739F2">
            <w:pPr>
              <w:ind w:firstLine="400"/>
              <w:jc w:val="center"/>
              <w:rPr>
                <w:rFonts w:cs="楷体_GB2312"/>
                <w:color w:val="000000" w:themeColor="text1"/>
                <w:kern w:val="0"/>
                <w:sz w:val="20"/>
                <w:szCs w:val="21"/>
              </w:rPr>
            </w:pPr>
          </w:p>
        </w:tc>
      </w:tr>
      <w:tr w:rsidR="00A739F2" w14:paraId="38F06AB6" w14:textId="77777777">
        <w:trPr>
          <w:trHeight w:val="311"/>
        </w:trPr>
        <w:tc>
          <w:tcPr>
            <w:tcW w:w="49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178DAC"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color w:val="000000" w:themeColor="text1"/>
                <w:kern w:val="0"/>
                <w:sz w:val="20"/>
                <w:szCs w:val="21"/>
                <w:lang w:bidi="ar"/>
              </w:rPr>
              <w:t>集中式</w:t>
            </w: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A2D61A"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color w:val="000000" w:themeColor="text1"/>
                <w:kern w:val="0"/>
                <w:sz w:val="20"/>
                <w:szCs w:val="21"/>
                <w:lang w:bidi="ar"/>
              </w:rPr>
              <w:t>康巴什区</w:t>
            </w:r>
            <w:r>
              <w:rPr>
                <w:rFonts w:cs="楷体_GB2312" w:hint="eastAsia"/>
                <w:color w:val="000000" w:themeColor="text1"/>
                <w:kern w:val="0"/>
                <w:sz w:val="20"/>
                <w:szCs w:val="21"/>
                <w:lang w:bidi="ar"/>
              </w:rPr>
              <w:t>1#</w:t>
            </w:r>
            <w:r>
              <w:rPr>
                <w:rFonts w:cs="楷体_GB2312" w:hint="eastAsia"/>
                <w:color w:val="000000" w:themeColor="text1"/>
                <w:kern w:val="0"/>
                <w:sz w:val="20"/>
                <w:szCs w:val="21"/>
                <w:lang w:bidi="ar"/>
              </w:rPr>
              <w:t>风</w:t>
            </w:r>
            <w:proofErr w:type="gramStart"/>
            <w:r>
              <w:rPr>
                <w:rFonts w:cs="楷体_GB2312" w:hint="eastAsia"/>
                <w:color w:val="000000" w:themeColor="text1"/>
                <w:kern w:val="0"/>
                <w:sz w:val="20"/>
                <w:szCs w:val="21"/>
                <w:lang w:bidi="ar"/>
              </w:rPr>
              <w:t>电项目</w:t>
            </w:r>
            <w:proofErr w:type="gramEnd"/>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FC7C62"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150</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3CACBF"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 xml:space="preserve">　</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BBD981"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 xml:space="preserve">　</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3F399"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F4DDDE"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150</w:t>
            </w:r>
          </w:p>
        </w:tc>
      </w:tr>
      <w:tr w:rsidR="00A739F2" w14:paraId="50358BC0" w14:textId="77777777">
        <w:trPr>
          <w:trHeight w:val="285"/>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3A9285"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13E051"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color w:val="000000" w:themeColor="text1"/>
                <w:kern w:val="0"/>
                <w:sz w:val="20"/>
                <w:szCs w:val="21"/>
                <w:lang w:bidi="ar"/>
              </w:rPr>
              <w:t>康巴什区</w:t>
            </w:r>
            <w:r>
              <w:rPr>
                <w:rFonts w:cs="楷体_GB2312" w:hint="eastAsia"/>
                <w:color w:val="000000" w:themeColor="text1"/>
                <w:kern w:val="0"/>
                <w:sz w:val="20"/>
                <w:szCs w:val="21"/>
                <w:lang w:bidi="ar"/>
              </w:rPr>
              <w:t>1#</w:t>
            </w:r>
            <w:r>
              <w:rPr>
                <w:rFonts w:cs="楷体_GB2312" w:hint="eastAsia"/>
                <w:color w:val="000000" w:themeColor="text1"/>
                <w:kern w:val="0"/>
                <w:sz w:val="20"/>
                <w:szCs w:val="21"/>
                <w:lang w:bidi="ar"/>
              </w:rPr>
              <w:t>光伏治沙项目</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9161C2"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 xml:space="preserve">　</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60439D"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200</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0ECCDA"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 xml:space="preserve">　</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D5B9D7"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200</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471D22"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400</w:t>
            </w:r>
          </w:p>
        </w:tc>
      </w:tr>
      <w:tr w:rsidR="00A739F2" w14:paraId="39206174" w14:textId="77777777">
        <w:trPr>
          <w:trHeight w:val="285"/>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3F1BE5"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DDD2E"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color w:val="000000" w:themeColor="text1"/>
                <w:kern w:val="0"/>
                <w:sz w:val="20"/>
                <w:szCs w:val="21"/>
                <w:lang w:bidi="ar"/>
              </w:rPr>
              <w:t>康巴什区</w:t>
            </w:r>
            <w:r>
              <w:rPr>
                <w:rFonts w:cs="楷体_GB2312" w:hint="eastAsia"/>
                <w:color w:val="000000" w:themeColor="text1"/>
                <w:kern w:val="0"/>
                <w:sz w:val="20"/>
                <w:szCs w:val="21"/>
                <w:lang w:bidi="ar"/>
              </w:rPr>
              <w:t>1#</w:t>
            </w:r>
            <w:r>
              <w:rPr>
                <w:rFonts w:cs="楷体_GB2312" w:hint="eastAsia"/>
                <w:color w:val="000000" w:themeColor="text1"/>
                <w:kern w:val="0"/>
                <w:sz w:val="20"/>
                <w:szCs w:val="21"/>
                <w:lang w:bidi="ar"/>
              </w:rPr>
              <w:t>风光同场项目</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BB285E"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50</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08853F"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 xml:space="preserve">　</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ECBFB2"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 xml:space="preserve">　</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2C23E"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500</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628F4E"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550</w:t>
            </w:r>
          </w:p>
        </w:tc>
      </w:tr>
      <w:tr w:rsidR="00A739F2" w14:paraId="067B3467" w14:textId="77777777">
        <w:trPr>
          <w:trHeight w:val="285"/>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4768DF"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8F02AA"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color w:val="000000" w:themeColor="text1"/>
                <w:kern w:val="0"/>
                <w:sz w:val="20"/>
                <w:szCs w:val="21"/>
                <w:lang w:bidi="ar"/>
              </w:rPr>
              <w:t>康巴什区</w:t>
            </w:r>
            <w:r>
              <w:rPr>
                <w:rFonts w:cs="楷体_GB2312" w:hint="eastAsia"/>
                <w:color w:val="000000" w:themeColor="text1"/>
                <w:kern w:val="0"/>
                <w:sz w:val="20"/>
                <w:szCs w:val="21"/>
                <w:lang w:bidi="ar"/>
              </w:rPr>
              <w:t>2#</w:t>
            </w:r>
            <w:r>
              <w:rPr>
                <w:rFonts w:cs="楷体_GB2312" w:hint="eastAsia"/>
                <w:color w:val="000000" w:themeColor="text1"/>
                <w:kern w:val="0"/>
                <w:sz w:val="20"/>
                <w:szCs w:val="21"/>
                <w:lang w:bidi="ar"/>
              </w:rPr>
              <w:t>风光同场项目</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65EA74"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 xml:space="preserve">　</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054E9"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300</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263047"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250</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7187E"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200</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13679F"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750</w:t>
            </w:r>
          </w:p>
        </w:tc>
      </w:tr>
      <w:tr w:rsidR="00A739F2" w14:paraId="670322A4" w14:textId="77777777">
        <w:trPr>
          <w:trHeight w:val="285"/>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960DA3"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960538"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color w:val="000000" w:themeColor="text1"/>
                <w:kern w:val="0"/>
                <w:sz w:val="20"/>
                <w:szCs w:val="21"/>
                <w:lang w:bidi="ar"/>
              </w:rPr>
              <w:t>康巴什区</w:t>
            </w:r>
            <w:r>
              <w:rPr>
                <w:rFonts w:cs="楷体_GB2312" w:hint="eastAsia"/>
                <w:color w:val="000000" w:themeColor="text1"/>
                <w:kern w:val="0"/>
                <w:sz w:val="20"/>
                <w:szCs w:val="21"/>
                <w:lang w:bidi="ar"/>
              </w:rPr>
              <w:t>3#</w:t>
            </w:r>
            <w:r>
              <w:rPr>
                <w:rFonts w:cs="楷体_GB2312" w:hint="eastAsia"/>
                <w:color w:val="000000" w:themeColor="text1"/>
                <w:kern w:val="0"/>
                <w:sz w:val="20"/>
                <w:szCs w:val="21"/>
                <w:lang w:bidi="ar"/>
              </w:rPr>
              <w:t>风光同场项目</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5341D5"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 xml:space="preserve">　</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17865"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 xml:space="preserve">　</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44A9BD"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200</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30727B"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1000</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A4A2B8"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1200</w:t>
            </w:r>
          </w:p>
        </w:tc>
      </w:tr>
      <w:tr w:rsidR="00A739F2" w14:paraId="78091BB9" w14:textId="77777777">
        <w:trPr>
          <w:trHeight w:val="285"/>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54D773"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DA49DF"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color w:val="000000" w:themeColor="text1"/>
                <w:kern w:val="0"/>
                <w:sz w:val="20"/>
                <w:szCs w:val="21"/>
                <w:lang w:bidi="ar"/>
              </w:rPr>
              <w:t>康巴什区</w:t>
            </w:r>
            <w:r>
              <w:rPr>
                <w:rFonts w:cs="楷体_GB2312" w:hint="eastAsia"/>
                <w:color w:val="000000" w:themeColor="text1"/>
                <w:kern w:val="0"/>
                <w:sz w:val="20"/>
                <w:szCs w:val="21"/>
                <w:lang w:bidi="ar"/>
              </w:rPr>
              <w:t>4#</w:t>
            </w:r>
            <w:r>
              <w:rPr>
                <w:rFonts w:cs="楷体_GB2312" w:hint="eastAsia"/>
                <w:color w:val="000000" w:themeColor="text1"/>
                <w:kern w:val="0"/>
                <w:sz w:val="20"/>
                <w:szCs w:val="21"/>
                <w:lang w:bidi="ar"/>
              </w:rPr>
              <w:t>风光同场项目</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0A37D"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50</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9CC415"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150</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1B3305"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100</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1150A"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750</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1112C0" w14:textId="77777777" w:rsidR="00A739F2" w:rsidRDefault="00597D48">
            <w:pPr>
              <w:widowControl/>
              <w:ind w:firstLineChars="0" w:firstLine="0"/>
              <w:jc w:val="center"/>
              <w:rPr>
                <w:rFonts w:cs="Times New Roman"/>
                <w:color w:val="000000" w:themeColor="text1"/>
                <w:kern w:val="0"/>
                <w:sz w:val="20"/>
                <w:szCs w:val="21"/>
                <w:lang w:bidi="ar"/>
              </w:rPr>
            </w:pPr>
            <w:r>
              <w:rPr>
                <w:rFonts w:cs="Times New Roman"/>
                <w:color w:val="000000" w:themeColor="text1"/>
                <w:sz w:val="20"/>
                <w:szCs w:val="21"/>
              </w:rPr>
              <w:t>1050</w:t>
            </w:r>
          </w:p>
        </w:tc>
      </w:tr>
      <w:tr w:rsidR="00A739F2" w14:paraId="455703F2" w14:textId="77777777">
        <w:trPr>
          <w:trHeight w:val="285"/>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98F75"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8129BD" w14:textId="77777777" w:rsidR="00A739F2" w:rsidRDefault="00597D48">
            <w:pPr>
              <w:widowControl/>
              <w:ind w:firstLineChars="0" w:firstLine="0"/>
              <w:jc w:val="center"/>
              <w:rPr>
                <w:rFonts w:cs="楷体_GB2312"/>
                <w:bCs/>
                <w:color w:val="000000" w:themeColor="text1"/>
                <w:kern w:val="0"/>
                <w:sz w:val="20"/>
                <w:szCs w:val="21"/>
              </w:rPr>
            </w:pPr>
            <w:r>
              <w:rPr>
                <w:rFonts w:cs="楷体_GB2312" w:hint="eastAsia"/>
                <w:bCs/>
                <w:color w:val="000000" w:themeColor="text1"/>
                <w:kern w:val="0"/>
                <w:sz w:val="20"/>
                <w:szCs w:val="21"/>
                <w:lang w:bidi="ar"/>
              </w:rPr>
              <w:t>集中式合计</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2AEDE8" w14:textId="77777777" w:rsidR="00A739F2" w:rsidRDefault="00597D48">
            <w:pPr>
              <w:widowControl/>
              <w:ind w:firstLineChars="0" w:firstLine="0"/>
              <w:jc w:val="center"/>
              <w:rPr>
                <w:rFonts w:cs="Times New Roman"/>
                <w:bCs/>
                <w:color w:val="000000" w:themeColor="text1"/>
                <w:kern w:val="0"/>
                <w:sz w:val="20"/>
                <w:szCs w:val="21"/>
                <w:lang w:bidi="ar"/>
              </w:rPr>
            </w:pPr>
            <w:r>
              <w:rPr>
                <w:rFonts w:cs="Times New Roman"/>
                <w:bCs/>
                <w:color w:val="000000" w:themeColor="text1"/>
                <w:sz w:val="20"/>
                <w:szCs w:val="21"/>
              </w:rPr>
              <w:t>250</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F5CA9B" w14:textId="77777777" w:rsidR="00A739F2" w:rsidRDefault="00597D48">
            <w:pPr>
              <w:widowControl/>
              <w:ind w:firstLineChars="0" w:firstLine="0"/>
              <w:jc w:val="center"/>
              <w:rPr>
                <w:rFonts w:cs="Times New Roman"/>
                <w:bCs/>
                <w:color w:val="000000" w:themeColor="text1"/>
                <w:kern w:val="0"/>
                <w:sz w:val="20"/>
                <w:szCs w:val="21"/>
                <w:lang w:bidi="ar"/>
              </w:rPr>
            </w:pPr>
            <w:r>
              <w:rPr>
                <w:rFonts w:cs="Times New Roman"/>
                <w:bCs/>
                <w:color w:val="000000" w:themeColor="text1"/>
                <w:sz w:val="20"/>
                <w:szCs w:val="21"/>
              </w:rPr>
              <w:t>650</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6A5050" w14:textId="77777777" w:rsidR="00A739F2" w:rsidRDefault="00597D48">
            <w:pPr>
              <w:widowControl/>
              <w:ind w:firstLineChars="0" w:firstLine="0"/>
              <w:jc w:val="center"/>
              <w:rPr>
                <w:rFonts w:cs="Times New Roman"/>
                <w:bCs/>
                <w:color w:val="000000" w:themeColor="text1"/>
                <w:kern w:val="0"/>
                <w:sz w:val="20"/>
                <w:szCs w:val="21"/>
                <w:lang w:bidi="ar"/>
              </w:rPr>
            </w:pPr>
            <w:r>
              <w:rPr>
                <w:rFonts w:cs="Times New Roman"/>
                <w:bCs/>
                <w:color w:val="000000" w:themeColor="text1"/>
                <w:sz w:val="20"/>
                <w:szCs w:val="21"/>
              </w:rPr>
              <w:t>550</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7C2C9" w14:textId="77777777" w:rsidR="00A739F2" w:rsidRDefault="00597D48">
            <w:pPr>
              <w:widowControl/>
              <w:ind w:firstLineChars="0" w:firstLine="0"/>
              <w:jc w:val="center"/>
              <w:rPr>
                <w:rFonts w:cs="Times New Roman"/>
                <w:bCs/>
                <w:color w:val="000000" w:themeColor="text1"/>
                <w:kern w:val="0"/>
                <w:sz w:val="20"/>
                <w:szCs w:val="21"/>
                <w:lang w:bidi="ar"/>
              </w:rPr>
            </w:pPr>
            <w:r>
              <w:rPr>
                <w:rFonts w:cs="Times New Roman"/>
                <w:bCs/>
                <w:color w:val="000000" w:themeColor="text1"/>
                <w:sz w:val="20"/>
                <w:szCs w:val="21"/>
              </w:rPr>
              <w:t>2650</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87BEE" w14:textId="77777777" w:rsidR="00A739F2" w:rsidRDefault="00597D48">
            <w:pPr>
              <w:widowControl/>
              <w:ind w:firstLineChars="0" w:firstLine="0"/>
              <w:jc w:val="center"/>
              <w:rPr>
                <w:rFonts w:cs="Times New Roman"/>
                <w:bCs/>
                <w:color w:val="000000" w:themeColor="text1"/>
                <w:kern w:val="0"/>
                <w:sz w:val="20"/>
                <w:szCs w:val="21"/>
                <w:lang w:bidi="ar"/>
              </w:rPr>
            </w:pPr>
            <w:r>
              <w:rPr>
                <w:rFonts w:cs="Times New Roman"/>
                <w:bCs/>
                <w:color w:val="000000" w:themeColor="text1"/>
                <w:sz w:val="20"/>
                <w:szCs w:val="21"/>
              </w:rPr>
              <w:t>4100</w:t>
            </w:r>
          </w:p>
        </w:tc>
      </w:tr>
      <w:tr w:rsidR="00A739F2" w14:paraId="2098AFA0" w14:textId="77777777">
        <w:trPr>
          <w:trHeight w:val="285"/>
        </w:trPr>
        <w:tc>
          <w:tcPr>
            <w:tcW w:w="49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3F3461"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color w:val="000000" w:themeColor="text1"/>
                <w:kern w:val="0"/>
                <w:sz w:val="20"/>
                <w:szCs w:val="21"/>
                <w:lang w:bidi="ar"/>
              </w:rPr>
              <w:t>分散式</w:t>
            </w: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C9426F"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color w:val="000000" w:themeColor="text1"/>
                <w:kern w:val="0"/>
                <w:sz w:val="20"/>
                <w:szCs w:val="21"/>
                <w:lang w:bidi="ar"/>
              </w:rPr>
              <w:t>康巴什</w:t>
            </w:r>
            <w:r>
              <w:rPr>
                <w:rFonts w:cs="楷体_GB2312" w:hint="eastAsia"/>
                <w:color w:val="000000" w:themeColor="text1"/>
                <w:kern w:val="0"/>
                <w:sz w:val="20"/>
                <w:szCs w:val="21"/>
                <w:lang w:bidi="ar"/>
              </w:rPr>
              <w:t>3</w:t>
            </w:r>
            <w:r>
              <w:rPr>
                <w:rFonts w:cs="楷体_GB2312" w:hint="eastAsia"/>
                <w:color w:val="000000" w:themeColor="text1"/>
                <w:kern w:val="0"/>
                <w:sz w:val="20"/>
                <w:szCs w:val="21"/>
                <w:lang w:bidi="ar"/>
              </w:rPr>
              <w:t>万千瓦分散式风电</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663F5"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30</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357A5B"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A3D26B"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CC3925"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B93E53"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30</w:t>
            </w:r>
          </w:p>
        </w:tc>
      </w:tr>
      <w:tr w:rsidR="00A739F2" w14:paraId="5230FA60" w14:textId="77777777">
        <w:trPr>
          <w:trHeight w:val="285"/>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964CD1"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0DB089" w14:textId="77777777" w:rsidR="00A739F2" w:rsidRDefault="00597D48">
            <w:pPr>
              <w:widowControl/>
              <w:ind w:firstLineChars="0" w:firstLine="0"/>
              <w:jc w:val="center"/>
              <w:rPr>
                <w:rFonts w:cs="楷体_GB2312"/>
                <w:color w:val="000000" w:themeColor="text1"/>
                <w:kern w:val="0"/>
                <w:sz w:val="20"/>
                <w:szCs w:val="21"/>
              </w:rPr>
            </w:pPr>
            <w:proofErr w:type="gramStart"/>
            <w:r>
              <w:rPr>
                <w:rFonts w:cs="楷体_GB2312" w:hint="eastAsia"/>
                <w:color w:val="000000" w:themeColor="text1"/>
                <w:kern w:val="0"/>
                <w:sz w:val="20"/>
                <w:szCs w:val="21"/>
                <w:lang w:bidi="ar"/>
              </w:rPr>
              <w:t>荣乌高速</w:t>
            </w:r>
            <w:proofErr w:type="gramEnd"/>
            <w:r>
              <w:rPr>
                <w:rFonts w:cs="楷体_GB2312" w:hint="eastAsia"/>
                <w:color w:val="000000" w:themeColor="text1"/>
                <w:kern w:val="0"/>
                <w:sz w:val="20"/>
                <w:szCs w:val="21"/>
                <w:lang w:bidi="ar"/>
              </w:rPr>
              <w:t>南向护坡光伏</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3A63F8"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19DFA8"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10</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A62391"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AF7553"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10</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34D08A"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20</w:t>
            </w:r>
          </w:p>
        </w:tc>
      </w:tr>
      <w:tr w:rsidR="00A739F2" w14:paraId="705F5DE1" w14:textId="77777777">
        <w:trPr>
          <w:trHeight w:val="285"/>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021037"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34D191" w14:textId="77777777" w:rsidR="00A739F2" w:rsidRDefault="00597D48">
            <w:pPr>
              <w:widowControl/>
              <w:ind w:firstLineChars="0" w:firstLine="0"/>
              <w:jc w:val="center"/>
              <w:rPr>
                <w:rFonts w:cs="楷体_GB2312"/>
                <w:color w:val="000000" w:themeColor="text1"/>
                <w:kern w:val="0"/>
                <w:sz w:val="20"/>
                <w:szCs w:val="21"/>
              </w:rPr>
            </w:pPr>
            <w:proofErr w:type="gramStart"/>
            <w:r>
              <w:rPr>
                <w:rFonts w:cs="楷体_GB2312" w:hint="eastAsia"/>
                <w:color w:val="000000" w:themeColor="text1"/>
                <w:kern w:val="0"/>
                <w:sz w:val="20"/>
                <w:szCs w:val="21"/>
                <w:lang w:bidi="ar"/>
              </w:rPr>
              <w:t>荣乌高速</w:t>
            </w:r>
            <w:proofErr w:type="gramEnd"/>
            <w:r>
              <w:rPr>
                <w:rFonts w:cs="楷体_GB2312" w:hint="eastAsia"/>
                <w:color w:val="000000" w:themeColor="text1"/>
                <w:kern w:val="0"/>
                <w:sz w:val="20"/>
                <w:szCs w:val="21"/>
                <w:lang w:bidi="ar"/>
              </w:rPr>
              <w:t>与包茂高速枢纽光伏</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587B5F"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1C13C"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3</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DEC67B"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71328E"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AD2B35"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3</w:t>
            </w:r>
          </w:p>
        </w:tc>
      </w:tr>
      <w:tr w:rsidR="00A739F2" w14:paraId="6B18DB5D" w14:textId="77777777">
        <w:trPr>
          <w:trHeight w:val="285"/>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A16179"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25259D"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color w:val="000000" w:themeColor="text1"/>
                <w:kern w:val="0"/>
                <w:sz w:val="20"/>
                <w:szCs w:val="21"/>
                <w:lang w:bidi="ar"/>
              </w:rPr>
              <w:t>机场高速枢纽光伏</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20DCE4"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6DD31"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3</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20436C"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C73690"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51238"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3</w:t>
            </w:r>
          </w:p>
        </w:tc>
      </w:tr>
      <w:tr w:rsidR="00A739F2" w14:paraId="1DE98B4F" w14:textId="77777777">
        <w:trPr>
          <w:trHeight w:val="285"/>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A463B7"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9230BB" w14:textId="77777777" w:rsidR="00A739F2" w:rsidRDefault="00597D48">
            <w:pPr>
              <w:widowControl/>
              <w:ind w:firstLineChars="0" w:firstLine="0"/>
              <w:jc w:val="center"/>
              <w:rPr>
                <w:rFonts w:cs="楷体_GB2312"/>
                <w:color w:val="000000" w:themeColor="text1"/>
                <w:kern w:val="0"/>
                <w:sz w:val="20"/>
                <w:szCs w:val="21"/>
              </w:rPr>
            </w:pPr>
            <w:proofErr w:type="gramStart"/>
            <w:r>
              <w:rPr>
                <w:rFonts w:cs="楷体_GB2312" w:hint="eastAsia"/>
                <w:color w:val="000000" w:themeColor="text1"/>
                <w:kern w:val="0"/>
                <w:sz w:val="20"/>
                <w:szCs w:val="21"/>
                <w:lang w:bidi="ar"/>
              </w:rPr>
              <w:t>荣乌高速</w:t>
            </w:r>
            <w:proofErr w:type="gramEnd"/>
            <w:r>
              <w:rPr>
                <w:rFonts w:cs="楷体_GB2312" w:hint="eastAsia"/>
                <w:color w:val="000000" w:themeColor="text1"/>
                <w:kern w:val="0"/>
                <w:sz w:val="20"/>
                <w:szCs w:val="21"/>
                <w:lang w:bidi="ar"/>
              </w:rPr>
              <w:t>与</w:t>
            </w:r>
            <w:r>
              <w:rPr>
                <w:rFonts w:cs="楷体_GB2312" w:hint="eastAsia"/>
                <w:color w:val="000000" w:themeColor="text1"/>
                <w:kern w:val="0"/>
                <w:sz w:val="20"/>
                <w:szCs w:val="21"/>
                <w:lang w:bidi="ar"/>
              </w:rPr>
              <w:t>210</w:t>
            </w:r>
            <w:r>
              <w:rPr>
                <w:rFonts w:cs="楷体_GB2312" w:hint="eastAsia"/>
                <w:color w:val="000000" w:themeColor="text1"/>
                <w:kern w:val="0"/>
                <w:sz w:val="20"/>
                <w:szCs w:val="21"/>
                <w:lang w:bidi="ar"/>
              </w:rPr>
              <w:t>国道枢纽光伏</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645A30"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4BEA1"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2</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71DC24"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1706A8"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6709A3"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2</w:t>
            </w:r>
          </w:p>
        </w:tc>
      </w:tr>
      <w:tr w:rsidR="00A739F2" w14:paraId="3B578F32" w14:textId="77777777">
        <w:trPr>
          <w:trHeight w:val="285"/>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92080E"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4BB6F6"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color w:val="000000" w:themeColor="text1"/>
                <w:kern w:val="0"/>
                <w:sz w:val="20"/>
                <w:szCs w:val="21"/>
                <w:lang w:bidi="ar"/>
              </w:rPr>
              <w:t>马王庙服务区两侧光伏</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B6C5D8"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D0DE71"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1</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F248E6"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E39411"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43B66"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1</w:t>
            </w:r>
          </w:p>
        </w:tc>
      </w:tr>
      <w:tr w:rsidR="00A739F2" w14:paraId="2D0FBCED" w14:textId="77777777">
        <w:trPr>
          <w:trHeight w:val="285"/>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1D5485"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40469C"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color w:val="000000" w:themeColor="text1"/>
                <w:kern w:val="0"/>
                <w:sz w:val="20"/>
                <w:szCs w:val="21"/>
                <w:lang w:bidi="ar"/>
              </w:rPr>
              <w:t>210</w:t>
            </w:r>
            <w:r>
              <w:rPr>
                <w:rFonts w:cs="楷体_GB2312" w:hint="eastAsia"/>
                <w:color w:val="000000" w:themeColor="text1"/>
                <w:kern w:val="0"/>
                <w:sz w:val="20"/>
                <w:szCs w:val="21"/>
                <w:lang w:bidi="ar"/>
              </w:rPr>
              <w:t>国道</w:t>
            </w:r>
            <w:proofErr w:type="gramStart"/>
            <w:r>
              <w:rPr>
                <w:rFonts w:cs="楷体_GB2312" w:hint="eastAsia"/>
                <w:color w:val="000000" w:themeColor="text1"/>
                <w:kern w:val="0"/>
                <w:sz w:val="20"/>
                <w:szCs w:val="21"/>
                <w:lang w:bidi="ar"/>
              </w:rPr>
              <w:t>边坡光</w:t>
            </w:r>
            <w:proofErr w:type="gramEnd"/>
            <w:r>
              <w:rPr>
                <w:rFonts w:cs="楷体_GB2312" w:hint="eastAsia"/>
                <w:color w:val="000000" w:themeColor="text1"/>
                <w:kern w:val="0"/>
                <w:sz w:val="20"/>
                <w:szCs w:val="21"/>
                <w:lang w:bidi="ar"/>
              </w:rPr>
              <w:t>伏</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E1B5C5"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074460"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1</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D6C974"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FB31EC"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B6E8DA"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1</w:t>
            </w:r>
          </w:p>
        </w:tc>
      </w:tr>
      <w:tr w:rsidR="00A739F2" w14:paraId="09B727ED" w14:textId="77777777">
        <w:trPr>
          <w:trHeight w:val="480"/>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CF9FBF"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303F72" w14:textId="77777777" w:rsidR="00A739F2" w:rsidRDefault="00597D48">
            <w:pPr>
              <w:widowControl/>
              <w:ind w:firstLineChars="0" w:firstLine="0"/>
              <w:jc w:val="center"/>
              <w:rPr>
                <w:rFonts w:cs="楷体_GB2312"/>
                <w:color w:val="000000" w:themeColor="text1"/>
                <w:kern w:val="0"/>
                <w:sz w:val="20"/>
                <w:szCs w:val="21"/>
              </w:rPr>
            </w:pPr>
            <w:r>
              <w:rPr>
                <w:rFonts w:cs="楷体_GB2312" w:hint="eastAsia"/>
                <w:color w:val="000000" w:themeColor="text1"/>
                <w:kern w:val="0"/>
                <w:sz w:val="20"/>
                <w:szCs w:val="21"/>
                <w:lang w:bidi="ar"/>
              </w:rPr>
              <w:t>康巴什区政府机关、学校、医院屋顶光伏</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FEE92F"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471CA"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50</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CE1154" w14:textId="77777777" w:rsidR="00A739F2" w:rsidRDefault="00597D48">
            <w:pPr>
              <w:ind w:firstLine="400"/>
              <w:jc w:val="center"/>
              <w:rPr>
                <w:rFonts w:cs="Times New Roman"/>
                <w:color w:val="000000" w:themeColor="text1"/>
                <w:kern w:val="0"/>
                <w:sz w:val="20"/>
                <w:szCs w:val="21"/>
              </w:rPr>
            </w:pPr>
            <w:r>
              <w:rPr>
                <w:rFonts w:cs="Times New Roman"/>
                <w:color w:val="000000" w:themeColor="text1"/>
                <w:sz w:val="20"/>
                <w:szCs w:val="21"/>
              </w:rPr>
              <w:t xml:space="preserve">　</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7B66CF"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100</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23DBE1" w14:textId="77777777" w:rsidR="00A739F2" w:rsidRDefault="00597D48">
            <w:pPr>
              <w:widowControl/>
              <w:ind w:firstLineChars="0" w:firstLine="0"/>
              <w:jc w:val="center"/>
              <w:rPr>
                <w:rFonts w:cs="Times New Roman"/>
                <w:color w:val="000000" w:themeColor="text1"/>
                <w:kern w:val="0"/>
                <w:sz w:val="20"/>
                <w:szCs w:val="21"/>
              </w:rPr>
            </w:pPr>
            <w:r>
              <w:rPr>
                <w:rFonts w:cs="Times New Roman"/>
                <w:color w:val="000000" w:themeColor="text1"/>
                <w:sz w:val="20"/>
                <w:szCs w:val="21"/>
              </w:rPr>
              <w:t>150</w:t>
            </w:r>
          </w:p>
        </w:tc>
      </w:tr>
      <w:tr w:rsidR="00A739F2" w14:paraId="242991FD" w14:textId="77777777">
        <w:trPr>
          <w:trHeight w:val="283"/>
        </w:trPr>
        <w:tc>
          <w:tcPr>
            <w:tcW w:w="49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8352C3" w14:textId="77777777" w:rsidR="00A739F2" w:rsidRDefault="00A739F2">
            <w:pPr>
              <w:ind w:firstLine="400"/>
              <w:jc w:val="center"/>
              <w:rPr>
                <w:rFonts w:cs="楷体_GB2312"/>
                <w:color w:val="000000" w:themeColor="text1"/>
                <w:kern w:val="0"/>
                <w:sz w:val="20"/>
                <w:szCs w:val="21"/>
              </w:rPr>
            </w:pPr>
          </w:p>
        </w:tc>
        <w:tc>
          <w:tcPr>
            <w:tcW w:w="165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AEE5D" w14:textId="77777777" w:rsidR="00A739F2" w:rsidRDefault="00597D48">
            <w:pPr>
              <w:widowControl/>
              <w:ind w:firstLineChars="0" w:firstLine="0"/>
              <w:jc w:val="center"/>
              <w:rPr>
                <w:rFonts w:cs="楷体_GB2312"/>
                <w:bCs/>
                <w:color w:val="000000" w:themeColor="text1"/>
                <w:kern w:val="0"/>
                <w:sz w:val="20"/>
                <w:szCs w:val="21"/>
              </w:rPr>
            </w:pPr>
            <w:r>
              <w:rPr>
                <w:rFonts w:cs="楷体_GB2312" w:hint="eastAsia"/>
                <w:bCs/>
                <w:color w:val="000000" w:themeColor="text1"/>
                <w:kern w:val="0"/>
                <w:sz w:val="20"/>
                <w:szCs w:val="21"/>
                <w:lang w:bidi="ar"/>
              </w:rPr>
              <w:t>分散式合计</w:t>
            </w:r>
          </w:p>
        </w:tc>
        <w:tc>
          <w:tcPr>
            <w:tcW w:w="53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67325D" w14:textId="77777777" w:rsidR="00A739F2" w:rsidRDefault="00597D48">
            <w:pPr>
              <w:widowControl/>
              <w:ind w:firstLineChars="0" w:firstLine="0"/>
              <w:jc w:val="center"/>
              <w:rPr>
                <w:rFonts w:cs="Times New Roman"/>
                <w:bCs/>
                <w:color w:val="000000" w:themeColor="text1"/>
                <w:kern w:val="0"/>
                <w:sz w:val="20"/>
                <w:szCs w:val="21"/>
              </w:rPr>
            </w:pPr>
            <w:r>
              <w:rPr>
                <w:rFonts w:cs="Times New Roman"/>
                <w:bCs/>
                <w:color w:val="000000" w:themeColor="text1"/>
                <w:sz w:val="20"/>
                <w:szCs w:val="21"/>
              </w:rPr>
              <w:t>30</w:t>
            </w:r>
          </w:p>
        </w:tc>
        <w:tc>
          <w:tcPr>
            <w:tcW w:w="47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03E5B1" w14:textId="77777777" w:rsidR="00A739F2" w:rsidRDefault="00597D48">
            <w:pPr>
              <w:widowControl/>
              <w:ind w:firstLineChars="0" w:firstLine="0"/>
              <w:jc w:val="center"/>
              <w:rPr>
                <w:rFonts w:cs="Times New Roman"/>
                <w:bCs/>
                <w:color w:val="000000" w:themeColor="text1"/>
                <w:kern w:val="0"/>
                <w:sz w:val="20"/>
                <w:szCs w:val="21"/>
              </w:rPr>
            </w:pPr>
            <w:r>
              <w:rPr>
                <w:rFonts w:cs="Times New Roman"/>
                <w:bCs/>
                <w:color w:val="000000" w:themeColor="text1"/>
                <w:sz w:val="20"/>
                <w:szCs w:val="21"/>
              </w:rPr>
              <w:t>70</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8F6ADA" w14:textId="77777777" w:rsidR="00A739F2" w:rsidRDefault="00597D48">
            <w:pPr>
              <w:ind w:firstLine="400"/>
              <w:jc w:val="center"/>
              <w:rPr>
                <w:rFonts w:cs="Times New Roman"/>
                <w:bCs/>
                <w:color w:val="000000" w:themeColor="text1"/>
                <w:kern w:val="0"/>
                <w:sz w:val="20"/>
                <w:szCs w:val="21"/>
              </w:rPr>
            </w:pPr>
            <w:r>
              <w:rPr>
                <w:rFonts w:cs="Times New Roman"/>
                <w:bCs/>
                <w:color w:val="000000" w:themeColor="text1"/>
                <w:sz w:val="20"/>
                <w:szCs w:val="21"/>
              </w:rPr>
              <w:t xml:space="preserve">　</w:t>
            </w:r>
          </w:p>
        </w:tc>
        <w:tc>
          <w:tcPr>
            <w:tcW w:w="58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0305D6" w14:textId="77777777" w:rsidR="00A739F2" w:rsidRDefault="00597D48">
            <w:pPr>
              <w:ind w:firstLineChars="0" w:firstLine="0"/>
              <w:jc w:val="center"/>
              <w:rPr>
                <w:rFonts w:cs="Times New Roman"/>
                <w:bCs/>
                <w:color w:val="000000" w:themeColor="text1"/>
                <w:kern w:val="0"/>
                <w:sz w:val="20"/>
                <w:szCs w:val="21"/>
              </w:rPr>
            </w:pPr>
            <w:r>
              <w:rPr>
                <w:rFonts w:cs="Times New Roman"/>
                <w:bCs/>
                <w:color w:val="000000" w:themeColor="text1"/>
                <w:sz w:val="20"/>
                <w:szCs w:val="21"/>
              </w:rPr>
              <w:t>110</w:t>
            </w:r>
          </w:p>
        </w:tc>
        <w:tc>
          <w:tcPr>
            <w:tcW w:w="71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03CF03" w14:textId="77777777" w:rsidR="00A739F2" w:rsidRDefault="00597D48">
            <w:pPr>
              <w:widowControl/>
              <w:ind w:firstLineChars="0" w:firstLine="0"/>
              <w:jc w:val="center"/>
              <w:rPr>
                <w:rFonts w:cs="Times New Roman"/>
                <w:bCs/>
                <w:color w:val="000000" w:themeColor="text1"/>
                <w:kern w:val="0"/>
                <w:sz w:val="20"/>
                <w:szCs w:val="21"/>
              </w:rPr>
            </w:pPr>
            <w:r>
              <w:rPr>
                <w:rFonts w:cs="Times New Roman"/>
                <w:bCs/>
                <w:color w:val="000000" w:themeColor="text1"/>
                <w:sz w:val="20"/>
                <w:szCs w:val="21"/>
              </w:rPr>
              <w:t>210</w:t>
            </w:r>
          </w:p>
        </w:tc>
      </w:tr>
    </w:tbl>
    <w:p w14:paraId="69D25FF7" w14:textId="77777777" w:rsidR="00A739F2" w:rsidRDefault="00597D48">
      <w:r>
        <w:rPr>
          <w:rFonts w:hint="eastAsia"/>
        </w:rPr>
        <w:t>本次提出的开发时序是基于当前的政策、环境和接入条件而提出的初步方案，在实际开发建设过程中，可根据城市发展规划、电网建设、消纳场景等方面的实际情况，对项目的开发时序和范围进行动态调整。</w:t>
      </w:r>
      <w:bookmarkStart w:id="170" w:name="_Toc9457"/>
      <w:bookmarkStart w:id="171" w:name="_Toc28305"/>
      <w:bookmarkStart w:id="172" w:name="_Toc14639"/>
      <w:bookmarkStart w:id="173" w:name="_Toc17400"/>
      <w:bookmarkStart w:id="174" w:name="_Toc17188"/>
      <w:bookmarkStart w:id="175" w:name="_Toc31081"/>
      <w:bookmarkStart w:id="176" w:name="_Toc10253"/>
    </w:p>
    <w:p w14:paraId="46B86464" w14:textId="77777777" w:rsidR="00A739F2" w:rsidRDefault="00597D48">
      <w:pPr>
        <w:widowControl/>
        <w:kinsoku w:val="0"/>
        <w:autoSpaceDE w:val="0"/>
        <w:autoSpaceDN w:val="0"/>
        <w:adjustRightInd w:val="0"/>
        <w:spacing w:before="100" w:line="360" w:lineRule="auto"/>
        <w:ind w:left="601" w:firstLineChars="0" w:firstLine="0"/>
        <w:jc w:val="left"/>
        <w:textAlignment w:val="baseline"/>
        <w:outlineLvl w:val="0"/>
        <w:rPr>
          <w:rFonts w:eastAsia="黑体" w:cs="黑体"/>
          <w:snapToGrid w:val="0"/>
          <w:color w:val="000000"/>
          <w:spacing w:val="-2"/>
          <w:kern w:val="0"/>
          <w:szCs w:val="32"/>
        </w:rPr>
      </w:pPr>
      <w:bookmarkStart w:id="177" w:name="_Toc14666"/>
      <w:r>
        <w:rPr>
          <w:rFonts w:eastAsia="黑体" w:cs="黑体" w:hint="eastAsia"/>
          <w:snapToGrid w:val="0"/>
          <w:color w:val="000000"/>
          <w:spacing w:val="-2"/>
          <w:kern w:val="0"/>
          <w:szCs w:val="32"/>
        </w:rPr>
        <w:t>五、加大集中式新能源开发力度</w:t>
      </w:r>
      <w:bookmarkEnd w:id="170"/>
      <w:bookmarkEnd w:id="171"/>
      <w:bookmarkEnd w:id="172"/>
      <w:bookmarkEnd w:id="173"/>
      <w:bookmarkEnd w:id="174"/>
      <w:bookmarkEnd w:id="175"/>
      <w:bookmarkEnd w:id="176"/>
      <w:bookmarkEnd w:id="177"/>
    </w:p>
    <w:p w14:paraId="2AF02C1E" w14:textId="77777777" w:rsidR="00A739F2" w:rsidRDefault="00597D48">
      <w:r>
        <w:rPr>
          <w:rFonts w:hint="eastAsia"/>
        </w:rPr>
        <w:t>康巴什区风能和太阳能等可再生能源资源丰富，具备发展绿色能源的先天资源优势，加快能源和经济结构的转型，通过建设先进的风电、光伏发电基地，促进当地产业与清洁能源基地有机结合，快速扩大康巴什区新能源装机规模。</w:t>
      </w:r>
    </w:p>
    <w:p w14:paraId="5AD941EE" w14:textId="77777777" w:rsidR="00A739F2" w:rsidRDefault="00597D48">
      <w:pPr>
        <w:rPr>
          <w:rFonts w:cs="Times New Roman"/>
        </w:rPr>
      </w:pPr>
      <w:r>
        <w:rPr>
          <w:rFonts w:hint="eastAsia"/>
        </w:rPr>
        <w:t>根据康巴什区资源潜力摸查情况，全区可开发集中式风电装机</w:t>
      </w:r>
      <w:r>
        <w:rPr>
          <w:rFonts w:hint="eastAsia"/>
        </w:rPr>
        <w:t>80</w:t>
      </w:r>
      <w:r>
        <w:rPr>
          <w:rFonts w:hint="eastAsia"/>
        </w:rPr>
        <w:t>万千瓦，集中式光伏装机</w:t>
      </w:r>
      <w:r>
        <w:rPr>
          <w:rFonts w:hint="eastAsia"/>
        </w:rPr>
        <w:t>330</w:t>
      </w:r>
      <w:r>
        <w:rPr>
          <w:rFonts w:hint="eastAsia"/>
        </w:rPr>
        <w:t>万千瓦。</w:t>
      </w:r>
      <w:r>
        <w:rPr>
          <w:rFonts w:hint="eastAsia"/>
        </w:rPr>
        <w:t>近期规划建设集中式风电装机</w:t>
      </w:r>
      <w:r>
        <w:rPr>
          <w:rFonts w:hint="eastAsia"/>
        </w:rPr>
        <w:t>25</w:t>
      </w:r>
      <w:r>
        <w:rPr>
          <w:rFonts w:hint="eastAsia"/>
        </w:rPr>
        <w:t>万千瓦，集中式光伏装机</w:t>
      </w:r>
      <w:r>
        <w:rPr>
          <w:rFonts w:hint="eastAsia"/>
        </w:rPr>
        <w:t>65</w:t>
      </w:r>
      <w:r>
        <w:rPr>
          <w:rFonts w:hint="eastAsia"/>
        </w:rPr>
        <w:t>万千瓦。远期规划以风光同场的模式新增风电装机</w:t>
      </w:r>
      <w:r>
        <w:rPr>
          <w:rFonts w:hint="eastAsia"/>
        </w:rPr>
        <w:t>55</w:t>
      </w:r>
      <w:r>
        <w:rPr>
          <w:rFonts w:hint="eastAsia"/>
        </w:rPr>
        <w:t>万千瓦及光伏装机</w:t>
      </w:r>
      <w:r>
        <w:rPr>
          <w:rFonts w:hint="eastAsia"/>
        </w:rPr>
        <w:t>265</w:t>
      </w:r>
      <w:r>
        <w:rPr>
          <w:rFonts w:hint="eastAsia"/>
        </w:rPr>
        <w:t>万千瓦</w:t>
      </w:r>
      <w:r>
        <w:rPr>
          <w:rFonts w:cs="Times New Roman" w:hint="eastAsia"/>
        </w:rPr>
        <w:t>。</w:t>
      </w:r>
    </w:p>
    <w:p w14:paraId="5BC328CB" w14:textId="77777777" w:rsidR="00A739F2" w:rsidRDefault="00597D48">
      <w:pPr>
        <w:pStyle w:val="af6"/>
        <w:rPr>
          <w:rFonts w:ascii="Times New Roman" w:hAnsi="Times New Roman"/>
        </w:rPr>
      </w:pPr>
      <w:bookmarkStart w:id="178" w:name="_Toc24889"/>
      <w:bookmarkStart w:id="179" w:name="_Toc16933"/>
      <w:bookmarkStart w:id="180" w:name="_Toc22472"/>
      <w:bookmarkStart w:id="181" w:name="_Toc25819"/>
      <w:bookmarkStart w:id="182" w:name="_Toc478"/>
      <w:bookmarkStart w:id="183" w:name="_Toc6070"/>
      <w:bookmarkStart w:id="184" w:name="_Toc30104"/>
      <w:r>
        <w:rPr>
          <w:rFonts w:ascii="Times New Roman" w:hAnsi="Times New Roman" w:hint="eastAsia"/>
        </w:rPr>
        <w:t>（一）</w:t>
      </w:r>
      <w:bookmarkEnd w:id="178"/>
      <w:r>
        <w:rPr>
          <w:rFonts w:ascii="Times New Roman" w:hAnsi="Times New Roman" w:hint="eastAsia"/>
        </w:rPr>
        <w:t>1#</w:t>
      </w:r>
      <w:r>
        <w:rPr>
          <w:rFonts w:ascii="Times New Roman" w:hAnsi="Times New Roman" w:hint="eastAsia"/>
        </w:rPr>
        <w:t>风光同场项目场址</w:t>
      </w:r>
      <w:bookmarkEnd w:id="179"/>
      <w:bookmarkEnd w:id="180"/>
      <w:bookmarkEnd w:id="181"/>
      <w:bookmarkEnd w:id="182"/>
      <w:bookmarkEnd w:id="183"/>
      <w:bookmarkEnd w:id="184"/>
    </w:p>
    <w:p w14:paraId="6900CBB6" w14:textId="77777777" w:rsidR="00A739F2" w:rsidRDefault="00597D48">
      <w:r>
        <w:rPr>
          <w:rFonts w:hint="eastAsia"/>
        </w:rPr>
        <w:lastRenderedPageBreak/>
        <w:t>康巴什区</w:t>
      </w:r>
      <w:r>
        <w:rPr>
          <w:rFonts w:hint="eastAsia"/>
        </w:rPr>
        <w:t>1</w:t>
      </w:r>
      <w:r>
        <w:t>#</w:t>
      </w:r>
      <w:r>
        <w:rPr>
          <w:rFonts w:hint="eastAsia"/>
        </w:rPr>
        <w:t>风光同场项目场址位于格德热格社区中部，</w:t>
      </w:r>
      <w:proofErr w:type="gramStart"/>
      <w:r>
        <w:rPr>
          <w:rFonts w:hint="eastAsia"/>
        </w:rPr>
        <w:t>京能康</w:t>
      </w:r>
      <w:proofErr w:type="gramEnd"/>
      <w:r>
        <w:rPr>
          <w:rFonts w:hint="eastAsia"/>
        </w:rPr>
        <w:t>巴什热电厂东侧约</w:t>
      </w:r>
      <w:r>
        <w:rPr>
          <w:rFonts w:hint="eastAsia"/>
        </w:rPr>
        <w:t>2km</w:t>
      </w:r>
      <w:r>
        <w:rPr>
          <w:rFonts w:hint="eastAsia"/>
        </w:rPr>
        <w:t>处，机场高速枢纽东南，场址内海拔在</w:t>
      </w:r>
      <w:r>
        <w:rPr>
          <w:rFonts w:hint="eastAsia"/>
        </w:rPr>
        <w:t>1</w:t>
      </w:r>
      <w:r>
        <w:t>280</w:t>
      </w:r>
      <w:r>
        <w:rPr>
          <w:rFonts w:hint="eastAsia"/>
        </w:rPr>
        <w:t>～</w:t>
      </w:r>
      <w:r>
        <w:t>1360</w:t>
      </w:r>
      <w:r>
        <w:rPr>
          <w:rFonts w:hint="eastAsia"/>
        </w:rPr>
        <w:t>m</w:t>
      </w:r>
      <w:r>
        <w:rPr>
          <w:rFonts w:hint="eastAsia"/>
        </w:rPr>
        <w:t>之间，地势平坦，适宜开发风光同场项目。场内以草地、林地、农田为主，建设条件较好，项目场址内</w:t>
      </w:r>
      <w:r>
        <w:rPr>
          <w:rFonts w:hint="eastAsia"/>
        </w:rPr>
        <w:t>1</w:t>
      </w:r>
      <w:r>
        <w:t>20</w:t>
      </w:r>
      <w:r>
        <w:rPr>
          <w:rFonts w:hint="eastAsia"/>
        </w:rPr>
        <w:t>m</w:t>
      </w:r>
      <w:r>
        <w:rPr>
          <w:rFonts w:hint="eastAsia"/>
        </w:rPr>
        <w:t>高度风速在</w:t>
      </w:r>
      <w:r>
        <w:rPr>
          <w:rFonts w:hint="eastAsia"/>
        </w:rPr>
        <w:t>6</w:t>
      </w:r>
      <w:r>
        <w:t>.20</w:t>
      </w:r>
      <w:r>
        <w:rPr>
          <w:rFonts w:hint="eastAsia"/>
        </w:rPr>
        <w:t>～</w:t>
      </w:r>
      <w:r>
        <w:t>6.65</w:t>
      </w:r>
      <w:r>
        <w:rPr>
          <w:rFonts w:hint="eastAsia"/>
        </w:rPr>
        <w:t>m/s</w:t>
      </w:r>
      <w:r>
        <w:rPr>
          <w:rFonts w:hint="eastAsia"/>
        </w:rPr>
        <w:t>之间，风能资源较好，场址规划面积</w:t>
      </w:r>
      <w:r>
        <w:rPr>
          <w:rFonts w:hint="eastAsia"/>
        </w:rPr>
        <w:t>13.05km</w:t>
      </w:r>
      <w:r>
        <w:rPr>
          <w:vertAlign w:val="superscript"/>
        </w:rPr>
        <w:t>2</w:t>
      </w:r>
      <w:r>
        <w:rPr>
          <w:rFonts w:hint="eastAsia"/>
        </w:rPr>
        <w:t>，规划近期开发建设</w:t>
      </w:r>
      <w:r>
        <w:rPr>
          <w:rFonts w:hint="eastAsia"/>
        </w:rPr>
        <w:t>5</w:t>
      </w:r>
      <w:r>
        <w:rPr>
          <w:rFonts w:hint="eastAsia"/>
        </w:rPr>
        <w:t>万千瓦风电项目，首年利用小时数（直流侧）为</w:t>
      </w:r>
      <w:r>
        <w:rPr>
          <w:rFonts w:hint="eastAsia"/>
        </w:rPr>
        <w:t>2</w:t>
      </w:r>
      <w:r>
        <w:t>5</w:t>
      </w:r>
      <w:r>
        <w:rPr>
          <w:rFonts w:hint="eastAsia"/>
        </w:rPr>
        <w:t>00h</w:t>
      </w:r>
      <w:r>
        <w:rPr>
          <w:rFonts w:hint="eastAsia"/>
        </w:rPr>
        <w:t>，规划远期开发建设</w:t>
      </w:r>
      <w:r>
        <w:rPr>
          <w:rFonts w:hint="eastAsia"/>
        </w:rPr>
        <w:t>50</w:t>
      </w:r>
      <w:r>
        <w:rPr>
          <w:rFonts w:hint="eastAsia"/>
        </w:rPr>
        <w:t>万千瓦光伏项目，首年利用小时数（直流侧）</w:t>
      </w:r>
      <w:r>
        <w:rPr>
          <w:rFonts w:hint="eastAsia"/>
        </w:rPr>
        <w:t>1</w:t>
      </w:r>
      <w:r>
        <w:t>6</w:t>
      </w:r>
      <w:r>
        <w:rPr>
          <w:rFonts w:hint="eastAsia"/>
        </w:rPr>
        <w:t>89h</w:t>
      </w:r>
      <w:r>
        <w:rPr>
          <w:rFonts w:hint="eastAsia"/>
        </w:rPr>
        <w:t>。</w:t>
      </w:r>
    </w:p>
    <w:p w14:paraId="5E93E865" w14:textId="77777777" w:rsidR="00A739F2" w:rsidRDefault="00597D48">
      <w:pPr>
        <w:ind w:firstLineChars="0" w:firstLine="0"/>
        <w:jc w:val="center"/>
        <w:rPr>
          <w:rFonts w:cs="Times New Roman"/>
        </w:rPr>
      </w:pPr>
      <w:r>
        <w:rPr>
          <w:noProof/>
        </w:rPr>
        <w:drawing>
          <wp:inline distT="0" distB="0" distL="114300" distR="114300" wp14:anchorId="767F0E8C" wp14:editId="035E0036">
            <wp:extent cx="5097780" cy="3959225"/>
            <wp:effectExtent l="0" t="0" r="762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34"/>
                    <a:stretch>
                      <a:fillRect/>
                    </a:stretch>
                  </pic:blipFill>
                  <pic:spPr>
                    <a:xfrm>
                      <a:off x="0" y="0"/>
                      <a:ext cx="5097780" cy="3959225"/>
                    </a:xfrm>
                    <a:prstGeom prst="rect">
                      <a:avLst/>
                    </a:prstGeom>
                    <a:noFill/>
                    <a:ln>
                      <a:noFill/>
                    </a:ln>
                  </pic:spPr>
                </pic:pic>
              </a:graphicData>
            </a:graphic>
          </wp:inline>
        </w:drawing>
      </w:r>
    </w:p>
    <w:p w14:paraId="6B475E61"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5.1-1 </w:t>
      </w:r>
      <w:r>
        <w:rPr>
          <w:rFonts w:cs="Times New Roman" w:hint="eastAsia"/>
          <w:b/>
          <w:sz w:val="24"/>
        </w:rPr>
        <w:t>康巴什区</w:t>
      </w:r>
      <w:r>
        <w:rPr>
          <w:rFonts w:cs="Times New Roman" w:hint="eastAsia"/>
          <w:b/>
          <w:sz w:val="24"/>
        </w:rPr>
        <w:t>1#</w:t>
      </w:r>
      <w:r>
        <w:rPr>
          <w:rFonts w:cs="Times New Roman" w:hint="eastAsia"/>
          <w:b/>
          <w:sz w:val="24"/>
        </w:rPr>
        <w:t>风光同场场址示意图</w:t>
      </w:r>
    </w:p>
    <w:p w14:paraId="2BFC9A76" w14:textId="77777777" w:rsidR="00A739F2" w:rsidRDefault="00597D48">
      <w:pPr>
        <w:pStyle w:val="af6"/>
        <w:adjustRightInd w:val="0"/>
        <w:rPr>
          <w:rFonts w:ascii="Times New Roman" w:hAnsi="Times New Roman"/>
        </w:rPr>
      </w:pPr>
      <w:bookmarkStart w:id="185" w:name="_Toc19080"/>
      <w:bookmarkStart w:id="186" w:name="_Toc12046"/>
      <w:bookmarkStart w:id="187" w:name="_Toc10163"/>
      <w:bookmarkStart w:id="188" w:name="_Toc2316"/>
      <w:bookmarkStart w:id="189" w:name="_Toc28749"/>
      <w:bookmarkStart w:id="190" w:name="_Toc20576"/>
      <w:bookmarkStart w:id="191" w:name="_Toc26440"/>
      <w:r>
        <w:rPr>
          <w:rFonts w:ascii="Times New Roman" w:hAnsi="Times New Roman" w:hint="eastAsia"/>
        </w:rPr>
        <w:t>（二）</w:t>
      </w:r>
      <w:bookmarkEnd w:id="185"/>
      <w:r>
        <w:rPr>
          <w:rFonts w:ascii="Times New Roman" w:hAnsi="Times New Roman" w:hint="eastAsia"/>
        </w:rPr>
        <w:t>1#</w:t>
      </w:r>
      <w:r>
        <w:rPr>
          <w:rFonts w:ascii="Times New Roman" w:hAnsi="Times New Roman" w:hint="eastAsia"/>
        </w:rPr>
        <w:t>风电场场址</w:t>
      </w:r>
      <w:bookmarkEnd w:id="186"/>
      <w:bookmarkEnd w:id="187"/>
      <w:bookmarkEnd w:id="188"/>
      <w:bookmarkEnd w:id="189"/>
      <w:bookmarkEnd w:id="190"/>
      <w:bookmarkEnd w:id="191"/>
    </w:p>
    <w:p w14:paraId="14BE7803" w14:textId="77777777" w:rsidR="00A739F2" w:rsidRDefault="00597D48">
      <w:pPr>
        <w:rPr>
          <w:rFonts w:cs="Times New Roman"/>
        </w:rPr>
      </w:pPr>
      <w:r>
        <w:rPr>
          <w:rFonts w:cs="Times New Roman" w:hint="eastAsia"/>
        </w:rPr>
        <w:lastRenderedPageBreak/>
        <w:t>康巴什区</w:t>
      </w:r>
      <w:r>
        <w:rPr>
          <w:rFonts w:cs="Times New Roman" w:hint="eastAsia"/>
        </w:rPr>
        <w:t>1#15</w:t>
      </w:r>
      <w:r>
        <w:rPr>
          <w:rFonts w:cs="Times New Roman" w:hint="eastAsia"/>
        </w:rPr>
        <w:t>万千瓦风电场场址位于哈巴格希社区西北部，场区在</w:t>
      </w:r>
      <w:r>
        <w:rPr>
          <w:rFonts w:cs="Times New Roman" w:hint="eastAsia"/>
        </w:rPr>
        <w:t>G210</w:t>
      </w:r>
      <w:r>
        <w:rPr>
          <w:rFonts w:cs="Times New Roman" w:hint="eastAsia"/>
        </w:rPr>
        <w:t>国道以西，场址内海拔在</w:t>
      </w:r>
      <w:r>
        <w:rPr>
          <w:rFonts w:cs="Times New Roman" w:hint="eastAsia"/>
        </w:rPr>
        <w:t>1350</w:t>
      </w:r>
      <w:r>
        <w:rPr>
          <w:rFonts w:cs="Times New Roman" w:hint="eastAsia"/>
        </w:rPr>
        <w:t>～</w:t>
      </w:r>
      <w:r>
        <w:rPr>
          <w:rFonts w:cs="Times New Roman" w:hint="eastAsia"/>
        </w:rPr>
        <w:t>1500m</w:t>
      </w:r>
      <w:r>
        <w:rPr>
          <w:rFonts w:cs="Times New Roman" w:hint="eastAsia"/>
        </w:rPr>
        <w:t>之间，场址区内沟壑褶皱较多，属山地风电场。场内以草地、林地为主，建设条件较好，项目场址内</w:t>
      </w:r>
      <w:r>
        <w:rPr>
          <w:rFonts w:cs="Times New Roman" w:hint="eastAsia"/>
        </w:rPr>
        <w:t>120m</w:t>
      </w:r>
      <w:r>
        <w:rPr>
          <w:rFonts w:cs="Times New Roman" w:hint="eastAsia"/>
        </w:rPr>
        <w:t>高度风速在</w:t>
      </w:r>
      <w:r>
        <w:rPr>
          <w:rFonts w:cs="Times New Roman" w:hint="eastAsia"/>
        </w:rPr>
        <w:t>6.70</w:t>
      </w:r>
      <w:r>
        <w:rPr>
          <w:rFonts w:cs="Times New Roman" w:hint="eastAsia"/>
        </w:rPr>
        <w:t>～</w:t>
      </w:r>
      <w:r>
        <w:rPr>
          <w:rFonts w:cs="Times New Roman" w:hint="eastAsia"/>
        </w:rPr>
        <w:t>8.12m/s</w:t>
      </w:r>
      <w:r>
        <w:rPr>
          <w:rFonts w:cs="Times New Roman" w:hint="eastAsia"/>
        </w:rPr>
        <w:t>之间，风能资源富集，场址规划面积</w:t>
      </w:r>
      <w:r>
        <w:rPr>
          <w:rFonts w:cs="Times New Roman" w:hint="eastAsia"/>
        </w:rPr>
        <w:t>52.0km</w:t>
      </w:r>
      <w:r>
        <w:rPr>
          <w:rFonts w:cs="Times New Roman" w:hint="eastAsia"/>
          <w:vertAlign w:val="superscript"/>
        </w:rPr>
        <w:t>2</w:t>
      </w:r>
      <w:r>
        <w:rPr>
          <w:rFonts w:cs="Times New Roman" w:hint="eastAsia"/>
        </w:rPr>
        <w:t>，规划容量</w:t>
      </w:r>
      <w:r>
        <w:rPr>
          <w:rFonts w:cs="Times New Roman" w:hint="eastAsia"/>
        </w:rPr>
        <w:t>15</w:t>
      </w:r>
      <w:r>
        <w:rPr>
          <w:rFonts w:cs="Times New Roman" w:hint="eastAsia"/>
        </w:rPr>
        <w:t>万千瓦，利用小时数为</w:t>
      </w:r>
      <w:r>
        <w:rPr>
          <w:rFonts w:cs="Times New Roman" w:hint="eastAsia"/>
        </w:rPr>
        <w:t>2900h</w:t>
      </w:r>
      <w:r>
        <w:rPr>
          <w:rFonts w:cs="Times New Roman" w:hint="eastAsia"/>
        </w:rPr>
        <w:t>，场址中心距规划建设的</w:t>
      </w:r>
      <w:r>
        <w:rPr>
          <w:rFonts w:cs="Times New Roman" w:hint="eastAsia"/>
        </w:rPr>
        <w:t>220kV</w:t>
      </w:r>
      <w:r>
        <w:rPr>
          <w:rFonts w:cs="Times New Roman" w:hint="eastAsia"/>
        </w:rPr>
        <w:t>卓越变直线距离约</w:t>
      </w:r>
      <w:r>
        <w:rPr>
          <w:rFonts w:cs="Times New Roman" w:hint="eastAsia"/>
        </w:rPr>
        <w:t>8.5km</w:t>
      </w:r>
      <w:r>
        <w:rPr>
          <w:rFonts w:cs="Times New Roman" w:hint="eastAsia"/>
        </w:rPr>
        <w:t>。</w:t>
      </w:r>
    </w:p>
    <w:p w14:paraId="6A0EC814" w14:textId="77777777" w:rsidR="00A739F2" w:rsidRDefault="00597D48">
      <w:pPr>
        <w:ind w:firstLineChars="0" w:firstLine="0"/>
        <w:jc w:val="center"/>
        <w:rPr>
          <w:rFonts w:eastAsiaTheme="minorEastAsia" w:cs="Times New Roman"/>
        </w:rPr>
      </w:pPr>
      <w:r>
        <w:rPr>
          <w:noProof/>
        </w:rPr>
        <w:drawing>
          <wp:inline distT="0" distB="0" distL="114300" distR="114300" wp14:anchorId="483AB8A9" wp14:editId="0FCB0935">
            <wp:extent cx="5090160" cy="4268470"/>
            <wp:effectExtent l="0" t="0" r="0" b="1397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35"/>
                    <a:stretch>
                      <a:fillRect/>
                    </a:stretch>
                  </pic:blipFill>
                  <pic:spPr>
                    <a:xfrm>
                      <a:off x="0" y="0"/>
                      <a:ext cx="5090160" cy="4268470"/>
                    </a:xfrm>
                    <a:prstGeom prst="rect">
                      <a:avLst/>
                    </a:prstGeom>
                    <a:noFill/>
                    <a:ln>
                      <a:noFill/>
                    </a:ln>
                  </pic:spPr>
                </pic:pic>
              </a:graphicData>
            </a:graphic>
          </wp:inline>
        </w:drawing>
      </w:r>
    </w:p>
    <w:p w14:paraId="541EA1EC"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5.2-1 </w:t>
      </w:r>
      <w:r>
        <w:rPr>
          <w:rFonts w:cs="Times New Roman" w:hint="eastAsia"/>
          <w:b/>
          <w:sz w:val="24"/>
        </w:rPr>
        <w:t>康巴什区</w:t>
      </w:r>
      <w:r>
        <w:rPr>
          <w:rFonts w:cs="Times New Roman" w:hint="eastAsia"/>
          <w:b/>
          <w:sz w:val="24"/>
        </w:rPr>
        <w:t>1#</w:t>
      </w:r>
      <w:r>
        <w:rPr>
          <w:rFonts w:cs="Times New Roman" w:hint="eastAsia"/>
          <w:b/>
          <w:sz w:val="24"/>
        </w:rPr>
        <w:t>风电场场址示意图</w:t>
      </w:r>
    </w:p>
    <w:p w14:paraId="3636C1D6" w14:textId="77777777" w:rsidR="00A739F2" w:rsidRDefault="00597D48">
      <w:pPr>
        <w:pStyle w:val="af6"/>
        <w:rPr>
          <w:rFonts w:ascii="Times New Roman" w:hAnsi="Times New Roman"/>
        </w:rPr>
      </w:pPr>
      <w:bookmarkStart w:id="192" w:name="_Toc24857"/>
      <w:bookmarkStart w:id="193" w:name="_Toc14787"/>
      <w:bookmarkStart w:id="194" w:name="_Toc9554"/>
      <w:bookmarkStart w:id="195" w:name="_Toc19895"/>
      <w:bookmarkStart w:id="196" w:name="_Toc25579"/>
      <w:bookmarkStart w:id="197" w:name="_Toc4969"/>
      <w:bookmarkStart w:id="198" w:name="_Toc19871"/>
      <w:r>
        <w:rPr>
          <w:rFonts w:ascii="Times New Roman" w:hAnsi="Times New Roman" w:hint="eastAsia"/>
        </w:rPr>
        <w:t>（三）</w:t>
      </w:r>
      <w:bookmarkEnd w:id="192"/>
      <w:r>
        <w:rPr>
          <w:rFonts w:ascii="Times New Roman" w:hAnsi="Times New Roman" w:hint="eastAsia"/>
        </w:rPr>
        <w:t>1#</w:t>
      </w:r>
      <w:r>
        <w:rPr>
          <w:rFonts w:ascii="Times New Roman" w:hAnsi="Times New Roman" w:hint="eastAsia"/>
        </w:rPr>
        <w:t>光伏治沙项目场址</w:t>
      </w:r>
      <w:bookmarkEnd w:id="193"/>
      <w:bookmarkEnd w:id="194"/>
      <w:bookmarkEnd w:id="195"/>
      <w:bookmarkEnd w:id="196"/>
      <w:bookmarkEnd w:id="197"/>
      <w:bookmarkEnd w:id="198"/>
    </w:p>
    <w:p w14:paraId="6DB7062E" w14:textId="77777777" w:rsidR="00A739F2" w:rsidRDefault="00597D48">
      <w:pPr>
        <w:rPr>
          <w:szCs w:val="36"/>
        </w:rPr>
      </w:pPr>
      <w:r>
        <w:rPr>
          <w:rFonts w:hint="eastAsia"/>
          <w:szCs w:val="36"/>
        </w:rPr>
        <w:lastRenderedPageBreak/>
        <w:t>康巴什区东南部存在大量沙地，为遏制沙漠扩张</w:t>
      </w:r>
      <w:r>
        <w:rPr>
          <w:rFonts w:hint="eastAsia"/>
          <w:szCs w:val="36"/>
        </w:rPr>
        <w:t>，积极响应国家大力推进以沙漠、戈壁、荒漠地区为重点的大型风电光</w:t>
      </w:r>
      <w:proofErr w:type="gramStart"/>
      <w:r>
        <w:rPr>
          <w:rFonts w:hint="eastAsia"/>
          <w:szCs w:val="36"/>
        </w:rPr>
        <w:t>伏</w:t>
      </w:r>
      <w:proofErr w:type="gramEnd"/>
      <w:r>
        <w:rPr>
          <w:rFonts w:hint="eastAsia"/>
          <w:szCs w:val="36"/>
        </w:rPr>
        <w:t>基地建设，本次在康巴什区东南部规划</w:t>
      </w:r>
      <w:r>
        <w:rPr>
          <w:rFonts w:hint="eastAsia"/>
          <w:szCs w:val="36"/>
        </w:rPr>
        <w:t>1</w:t>
      </w:r>
      <w:r>
        <w:rPr>
          <w:rFonts w:hint="eastAsia"/>
          <w:szCs w:val="36"/>
        </w:rPr>
        <w:t>座光伏电站，以板上发电</w:t>
      </w:r>
      <w:r>
        <w:rPr>
          <w:rFonts w:hint="eastAsia"/>
          <w:szCs w:val="36"/>
        </w:rPr>
        <w:t>+</w:t>
      </w:r>
      <w:r>
        <w:rPr>
          <w:rFonts w:hint="eastAsia"/>
          <w:szCs w:val="36"/>
        </w:rPr>
        <w:t>板下治沙的生态治理模式开发光</w:t>
      </w:r>
      <w:proofErr w:type="gramStart"/>
      <w:r>
        <w:rPr>
          <w:rFonts w:hint="eastAsia"/>
          <w:szCs w:val="36"/>
        </w:rPr>
        <w:t>伏</w:t>
      </w:r>
      <w:proofErr w:type="gramEnd"/>
      <w:r>
        <w:rPr>
          <w:rFonts w:hint="eastAsia"/>
          <w:szCs w:val="36"/>
        </w:rPr>
        <w:t>项目。</w:t>
      </w:r>
    </w:p>
    <w:p w14:paraId="217511F1" w14:textId="77777777" w:rsidR="00A739F2" w:rsidRDefault="00597D48">
      <w:r>
        <w:rPr>
          <w:rFonts w:hint="eastAsia"/>
        </w:rPr>
        <w:t>康巴什区</w:t>
      </w:r>
      <w:r>
        <w:t>1#</w:t>
      </w:r>
      <w:r>
        <w:rPr>
          <w:rFonts w:hint="eastAsia"/>
        </w:rPr>
        <w:t>40</w:t>
      </w:r>
      <w:r>
        <w:rPr>
          <w:rFonts w:hint="eastAsia"/>
        </w:rPr>
        <w:t>万千瓦光伏治沙项目场址位于格德热格社区东南部，场区在康巴什热电厂南部</w:t>
      </w:r>
      <w:r>
        <w:rPr>
          <w:rFonts w:hint="eastAsia"/>
        </w:rPr>
        <w:t>1</w:t>
      </w:r>
      <w:r>
        <w:t>.5</w:t>
      </w:r>
      <w:r>
        <w:rPr>
          <w:rFonts w:hint="eastAsia"/>
        </w:rPr>
        <w:t>km</w:t>
      </w:r>
      <w:r>
        <w:rPr>
          <w:rFonts w:hint="eastAsia"/>
        </w:rPr>
        <w:t>处。康巴什热电厂南侧、机场高速以西区域沙地目前已成为康巴什区</w:t>
      </w:r>
      <w:proofErr w:type="gramStart"/>
      <w:r>
        <w:rPr>
          <w:rFonts w:hint="eastAsia"/>
        </w:rPr>
        <w:t>沙地文旅娱乐</w:t>
      </w:r>
      <w:proofErr w:type="gramEnd"/>
      <w:r>
        <w:rPr>
          <w:rFonts w:hint="eastAsia"/>
        </w:rPr>
        <w:t>的场所，形成了较好社会效益。考虑到该区域总体面积较小，对康巴什区生态环境及治沙工程影响较小，拟在光伏治沙场址中予以保留。光伏治沙场址集中在机场高速东侧，向东一直延续至康巴什区边界，场址</w:t>
      </w:r>
      <w:r>
        <w:rPr>
          <w:rFonts w:hint="eastAsia"/>
        </w:rPr>
        <w:t>海拔在</w:t>
      </w:r>
      <w:r>
        <w:rPr>
          <w:rFonts w:hint="eastAsia"/>
        </w:rPr>
        <w:t>1</w:t>
      </w:r>
      <w:r>
        <w:t>230</w:t>
      </w:r>
      <w:r>
        <w:rPr>
          <w:rFonts w:hint="eastAsia"/>
        </w:rPr>
        <w:t>～</w:t>
      </w:r>
      <w:r>
        <w:t>1320</w:t>
      </w:r>
      <w:r>
        <w:rPr>
          <w:rFonts w:hint="eastAsia"/>
        </w:rPr>
        <w:t>m</w:t>
      </w:r>
      <w:r>
        <w:rPr>
          <w:rFonts w:hint="eastAsia"/>
        </w:rPr>
        <w:t>之间，</w:t>
      </w:r>
      <w:proofErr w:type="gramStart"/>
      <w:r>
        <w:rPr>
          <w:rFonts w:hint="eastAsia"/>
        </w:rPr>
        <w:t>场址区</w:t>
      </w:r>
      <w:proofErr w:type="gramEnd"/>
      <w:r>
        <w:rPr>
          <w:rFonts w:hint="eastAsia"/>
        </w:rPr>
        <w:t>较为平坦。场内以沙地为主，建设条件较好，项目场址内太阳能总辐射量</w:t>
      </w:r>
      <w:r>
        <w:rPr>
          <w:rFonts w:hint="eastAsia"/>
        </w:rPr>
        <w:t>1</w:t>
      </w:r>
      <w:r>
        <w:t>654</w:t>
      </w:r>
      <w:r>
        <w:rPr>
          <w:rFonts w:hint="eastAsia"/>
        </w:rPr>
        <w:t>kWh/</w:t>
      </w:r>
      <w:r>
        <w:rPr>
          <w:rFonts w:hint="eastAsia"/>
        </w:rPr>
        <w:t>㎡，太阳能资源很丰富。场址规划面积</w:t>
      </w:r>
      <w:r>
        <w:rPr>
          <w:rFonts w:hint="eastAsia"/>
        </w:rPr>
        <w:t>14.39km</w:t>
      </w:r>
      <w:r>
        <w:rPr>
          <w:rFonts w:hint="eastAsia"/>
          <w:vertAlign w:val="superscript"/>
        </w:rPr>
        <w:t>2</w:t>
      </w:r>
      <w:r>
        <w:rPr>
          <w:rFonts w:hint="eastAsia"/>
        </w:rPr>
        <w:t>，规划容量</w:t>
      </w:r>
      <w:r>
        <w:rPr>
          <w:rFonts w:hint="eastAsia"/>
        </w:rPr>
        <w:t>40</w:t>
      </w:r>
      <w:r>
        <w:rPr>
          <w:rFonts w:hint="eastAsia"/>
        </w:rPr>
        <w:t>万千瓦，首年利用小时数（直流侧）为</w:t>
      </w:r>
      <w:r>
        <w:rPr>
          <w:rFonts w:hint="eastAsia"/>
        </w:rPr>
        <w:t>1702h</w:t>
      </w:r>
      <w:r>
        <w:rPr>
          <w:rFonts w:hint="eastAsia"/>
        </w:rPr>
        <w:t>，建成后可治理沙地面积</w:t>
      </w:r>
      <w:r>
        <w:rPr>
          <w:rFonts w:hint="eastAsia"/>
        </w:rPr>
        <w:t>3150</w:t>
      </w:r>
      <w:r>
        <w:rPr>
          <w:rFonts w:hint="eastAsia"/>
        </w:rPr>
        <w:t>亩以上。</w:t>
      </w:r>
    </w:p>
    <w:p w14:paraId="233E0E83" w14:textId="77777777" w:rsidR="00A739F2" w:rsidRDefault="00597D48">
      <w:pPr>
        <w:pStyle w:val="2"/>
        <w:ind w:leftChars="0" w:left="0" w:firstLineChars="0" w:firstLine="0"/>
        <w:jc w:val="center"/>
        <w:rPr>
          <w:szCs w:val="36"/>
        </w:rPr>
      </w:pPr>
      <w:r>
        <w:rPr>
          <w:noProof/>
        </w:rPr>
        <w:lastRenderedPageBreak/>
        <w:drawing>
          <wp:inline distT="0" distB="0" distL="114300" distR="114300" wp14:anchorId="7B2CF99C" wp14:editId="0770E131">
            <wp:extent cx="5273675" cy="3493135"/>
            <wp:effectExtent l="0" t="0" r="14605"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6"/>
                    <a:stretch>
                      <a:fillRect/>
                    </a:stretch>
                  </pic:blipFill>
                  <pic:spPr>
                    <a:xfrm>
                      <a:off x="0" y="0"/>
                      <a:ext cx="5273675" cy="3493135"/>
                    </a:xfrm>
                    <a:prstGeom prst="rect">
                      <a:avLst/>
                    </a:prstGeom>
                    <a:noFill/>
                    <a:ln>
                      <a:noFill/>
                    </a:ln>
                  </pic:spPr>
                </pic:pic>
              </a:graphicData>
            </a:graphic>
          </wp:inline>
        </w:drawing>
      </w:r>
    </w:p>
    <w:p w14:paraId="1EBF87C4" w14:textId="77777777" w:rsidR="00A739F2" w:rsidRDefault="00597D48">
      <w:pPr>
        <w:pStyle w:val="af4"/>
      </w:pPr>
      <w:r>
        <w:rPr>
          <w:rFonts w:cs="Times New Roman" w:hint="eastAsia"/>
          <w:sz w:val="24"/>
        </w:rPr>
        <w:t>图</w:t>
      </w:r>
      <w:r>
        <w:rPr>
          <w:rFonts w:cs="Times New Roman" w:hint="eastAsia"/>
          <w:sz w:val="24"/>
        </w:rPr>
        <w:t xml:space="preserve">5.3-1 </w:t>
      </w:r>
      <w:r>
        <w:rPr>
          <w:rFonts w:cs="Times New Roman" w:hint="eastAsia"/>
          <w:sz w:val="24"/>
        </w:rPr>
        <w:t>康巴什区</w:t>
      </w:r>
      <w:r>
        <w:rPr>
          <w:rFonts w:cs="Times New Roman" w:hint="eastAsia"/>
          <w:sz w:val="24"/>
        </w:rPr>
        <w:t>1#</w:t>
      </w:r>
      <w:r>
        <w:rPr>
          <w:rFonts w:cs="Times New Roman" w:hint="eastAsia"/>
          <w:sz w:val="24"/>
        </w:rPr>
        <w:t>光伏治沙项目</w:t>
      </w:r>
    </w:p>
    <w:p w14:paraId="34C82B51" w14:textId="77777777" w:rsidR="00A739F2" w:rsidRDefault="00597D48">
      <w:pPr>
        <w:rPr>
          <w:szCs w:val="36"/>
        </w:rPr>
      </w:pPr>
      <w:r>
        <w:rPr>
          <w:rFonts w:hint="eastAsia"/>
          <w:szCs w:val="36"/>
        </w:rPr>
        <w:t>通过一系列防沙、固沙措施，沙地的扩张可以得到有效的遏制，在此基础上，利用光伏电池板之间的间隙，穿插种植适宜生长于北方地区且经济价值较高的沙生植物，并在其上进行禽畜养殖，集光、电、草、牧为一体的太阳能复合</w:t>
      </w:r>
      <w:r>
        <w:rPr>
          <w:rFonts w:hint="eastAsia"/>
          <w:szCs w:val="36"/>
        </w:rPr>
        <w:t>生态工程。这种治沙模式的创新，对促进清洁能源发展、促进康巴什区的生态、经济、社会的可持续健康发展具有重大意义。</w:t>
      </w:r>
    </w:p>
    <w:p w14:paraId="7E329658" w14:textId="77777777" w:rsidR="00A739F2" w:rsidRDefault="00597D48">
      <w:pPr>
        <w:pStyle w:val="af6"/>
        <w:rPr>
          <w:rFonts w:ascii="Times New Roman" w:hAnsi="Times New Roman"/>
        </w:rPr>
      </w:pPr>
      <w:bookmarkStart w:id="199" w:name="_Toc24352"/>
      <w:bookmarkStart w:id="200" w:name="_Toc14764"/>
      <w:bookmarkStart w:id="201" w:name="_Toc17660"/>
      <w:bookmarkStart w:id="202" w:name="_Toc465"/>
      <w:bookmarkStart w:id="203" w:name="_Toc32516"/>
      <w:bookmarkStart w:id="204" w:name="_Toc16663"/>
      <w:bookmarkStart w:id="205" w:name="_Toc23333"/>
      <w:r>
        <w:rPr>
          <w:rFonts w:ascii="Times New Roman" w:hAnsi="Times New Roman" w:hint="eastAsia"/>
        </w:rPr>
        <w:t>（四）</w:t>
      </w:r>
      <w:r>
        <w:rPr>
          <w:rFonts w:ascii="Times New Roman" w:hAnsi="Times New Roman" w:hint="eastAsia"/>
        </w:rPr>
        <w:t>2#</w:t>
      </w:r>
      <w:r>
        <w:rPr>
          <w:rFonts w:ascii="Times New Roman" w:hAnsi="Times New Roman" w:hint="eastAsia"/>
        </w:rPr>
        <w:t>、</w:t>
      </w:r>
      <w:r>
        <w:rPr>
          <w:rFonts w:ascii="Times New Roman" w:hAnsi="Times New Roman" w:hint="eastAsia"/>
        </w:rPr>
        <w:t>3#</w:t>
      </w:r>
      <w:r>
        <w:rPr>
          <w:rFonts w:ascii="Times New Roman" w:hAnsi="Times New Roman" w:hint="eastAsia"/>
        </w:rPr>
        <w:t>、</w:t>
      </w:r>
      <w:r>
        <w:rPr>
          <w:rFonts w:ascii="Times New Roman" w:hAnsi="Times New Roman" w:hint="eastAsia"/>
        </w:rPr>
        <w:t>4#</w:t>
      </w:r>
      <w:r>
        <w:rPr>
          <w:rFonts w:ascii="Times New Roman" w:hAnsi="Times New Roman" w:hint="eastAsia"/>
        </w:rPr>
        <w:t>风光同场</w:t>
      </w:r>
      <w:bookmarkEnd w:id="199"/>
      <w:r>
        <w:rPr>
          <w:rFonts w:ascii="Times New Roman" w:hAnsi="Times New Roman" w:hint="eastAsia"/>
        </w:rPr>
        <w:t>场址</w:t>
      </w:r>
      <w:bookmarkEnd w:id="200"/>
      <w:bookmarkEnd w:id="201"/>
      <w:bookmarkEnd w:id="202"/>
      <w:bookmarkEnd w:id="203"/>
      <w:bookmarkEnd w:id="204"/>
      <w:bookmarkEnd w:id="205"/>
    </w:p>
    <w:p w14:paraId="75BE9897" w14:textId="77777777" w:rsidR="00A739F2" w:rsidRDefault="00597D48">
      <w:r>
        <w:rPr>
          <w:rFonts w:hint="eastAsia"/>
        </w:rPr>
        <w:t>康巴什区</w:t>
      </w:r>
      <w:r>
        <w:rPr>
          <w:rFonts w:hint="eastAsia"/>
        </w:rPr>
        <w:t>2</w:t>
      </w:r>
      <w:r>
        <w:t>#</w:t>
      </w:r>
      <w:r>
        <w:rPr>
          <w:rFonts w:hint="eastAsia"/>
        </w:rPr>
        <w:t>风光同场项目场址位于康巴什区哈巴格希社区东南部，场区位</w:t>
      </w:r>
      <w:proofErr w:type="gramStart"/>
      <w:r>
        <w:rPr>
          <w:rFonts w:hint="eastAsia"/>
        </w:rPr>
        <w:t>于荣乌高速</w:t>
      </w:r>
      <w:proofErr w:type="gramEnd"/>
      <w:r>
        <w:rPr>
          <w:rFonts w:hint="eastAsia"/>
        </w:rPr>
        <w:t>以南，交通便利，场址内海拔在</w:t>
      </w:r>
      <w:r>
        <w:rPr>
          <w:rFonts w:hint="eastAsia"/>
        </w:rPr>
        <w:t>13</w:t>
      </w:r>
      <w:r>
        <w:t>2</w:t>
      </w:r>
      <w:r>
        <w:rPr>
          <w:rFonts w:hint="eastAsia"/>
        </w:rPr>
        <w:t>0</w:t>
      </w:r>
      <w:r>
        <w:rPr>
          <w:rFonts w:hint="eastAsia"/>
        </w:rPr>
        <w:t>～</w:t>
      </w:r>
      <w:r>
        <w:rPr>
          <w:rFonts w:hint="eastAsia"/>
        </w:rPr>
        <w:t>1</w:t>
      </w:r>
      <w:r>
        <w:t>46</w:t>
      </w:r>
      <w:r>
        <w:rPr>
          <w:rFonts w:hint="eastAsia"/>
        </w:rPr>
        <w:t>0m</w:t>
      </w:r>
      <w:r>
        <w:rPr>
          <w:rFonts w:hint="eastAsia"/>
        </w:rPr>
        <w:t>之间，</w:t>
      </w:r>
      <w:proofErr w:type="gramStart"/>
      <w:r>
        <w:rPr>
          <w:rFonts w:hint="eastAsia"/>
        </w:rPr>
        <w:t>场址区</w:t>
      </w:r>
      <w:proofErr w:type="gramEnd"/>
      <w:r>
        <w:rPr>
          <w:rFonts w:hint="eastAsia"/>
        </w:rPr>
        <w:t>东北部主要为山地，南部较为平缓，</w:t>
      </w:r>
      <w:r>
        <w:rPr>
          <w:rFonts w:hint="eastAsia"/>
        </w:rPr>
        <w:lastRenderedPageBreak/>
        <w:t>适宜开发风光同场项目。场内以草地为主，建设条件较好，项目场址内</w:t>
      </w:r>
      <w:r>
        <w:rPr>
          <w:rFonts w:hint="eastAsia"/>
        </w:rPr>
        <w:t>120m</w:t>
      </w:r>
      <w:r>
        <w:rPr>
          <w:rFonts w:hint="eastAsia"/>
        </w:rPr>
        <w:t>高度风速在</w:t>
      </w:r>
      <w:r>
        <w:rPr>
          <w:rFonts w:hint="eastAsia"/>
        </w:rPr>
        <w:t>6.</w:t>
      </w:r>
      <w:r>
        <w:t>1</w:t>
      </w:r>
      <w:r>
        <w:rPr>
          <w:rFonts w:hint="eastAsia"/>
        </w:rPr>
        <w:t>0</w:t>
      </w:r>
      <w:r>
        <w:rPr>
          <w:rFonts w:hint="eastAsia"/>
        </w:rPr>
        <w:t>～</w:t>
      </w:r>
      <w:r>
        <w:t>7</w:t>
      </w:r>
      <w:r>
        <w:rPr>
          <w:rFonts w:hint="eastAsia"/>
        </w:rPr>
        <w:t>.</w:t>
      </w:r>
      <w:r>
        <w:t>14</w:t>
      </w:r>
      <w:r>
        <w:rPr>
          <w:rFonts w:hint="eastAsia"/>
        </w:rPr>
        <w:t>m/s</w:t>
      </w:r>
      <w:r>
        <w:rPr>
          <w:rFonts w:hint="eastAsia"/>
        </w:rPr>
        <w:t>之间，风能资源较好，场址规划面积</w:t>
      </w:r>
      <w:r>
        <w:t>38.9</w:t>
      </w:r>
      <w:r>
        <w:rPr>
          <w:rFonts w:hint="eastAsia"/>
        </w:rPr>
        <w:t>km</w:t>
      </w:r>
      <w:r>
        <w:rPr>
          <w:rFonts w:hint="eastAsia"/>
          <w:vertAlign w:val="superscript"/>
        </w:rPr>
        <w:t>2</w:t>
      </w:r>
      <w:r>
        <w:rPr>
          <w:rFonts w:hint="eastAsia"/>
        </w:rPr>
        <w:t>，规划风电</w:t>
      </w:r>
      <w:r>
        <w:rPr>
          <w:rFonts w:hint="eastAsia"/>
        </w:rPr>
        <w:t>25</w:t>
      </w:r>
      <w:r>
        <w:rPr>
          <w:rFonts w:hint="eastAsia"/>
        </w:rPr>
        <w:t>万千瓦，利用小时数为</w:t>
      </w:r>
      <w:r>
        <w:rPr>
          <w:rFonts w:hint="eastAsia"/>
        </w:rPr>
        <w:t>2</w:t>
      </w:r>
      <w:r>
        <w:t>5</w:t>
      </w:r>
      <w:r>
        <w:rPr>
          <w:rFonts w:hint="eastAsia"/>
        </w:rPr>
        <w:t>00h</w:t>
      </w:r>
      <w:r>
        <w:rPr>
          <w:rFonts w:hint="eastAsia"/>
        </w:rPr>
        <w:t>，规划光伏</w:t>
      </w:r>
      <w:r>
        <w:rPr>
          <w:rFonts w:hint="eastAsia"/>
        </w:rPr>
        <w:t>50</w:t>
      </w:r>
      <w:r>
        <w:rPr>
          <w:rFonts w:hint="eastAsia"/>
        </w:rPr>
        <w:t>万千瓦，首年利用小时数（直流侧）</w:t>
      </w:r>
      <w:r>
        <w:rPr>
          <w:rFonts w:hint="eastAsia"/>
        </w:rPr>
        <w:t>1</w:t>
      </w:r>
      <w:r>
        <w:t>6</w:t>
      </w:r>
      <w:r>
        <w:rPr>
          <w:rFonts w:hint="eastAsia"/>
        </w:rPr>
        <w:t>95h</w:t>
      </w:r>
      <w:r>
        <w:rPr>
          <w:rFonts w:hint="eastAsia"/>
        </w:rPr>
        <w:t>。</w:t>
      </w:r>
    </w:p>
    <w:p w14:paraId="2BF0C4FB" w14:textId="77777777" w:rsidR="00A739F2" w:rsidRDefault="00597D48">
      <w:pPr>
        <w:ind w:firstLineChars="0" w:firstLine="0"/>
        <w:jc w:val="center"/>
      </w:pPr>
      <w:r>
        <w:rPr>
          <w:noProof/>
        </w:rPr>
        <w:drawing>
          <wp:inline distT="0" distB="0" distL="114300" distR="114300" wp14:anchorId="107BD0AC" wp14:editId="79010EFA">
            <wp:extent cx="5273040" cy="3871595"/>
            <wp:effectExtent l="0" t="0" r="3810" b="1460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37"/>
                    <a:stretch>
                      <a:fillRect/>
                    </a:stretch>
                  </pic:blipFill>
                  <pic:spPr>
                    <a:xfrm>
                      <a:off x="0" y="0"/>
                      <a:ext cx="5273040" cy="3871595"/>
                    </a:xfrm>
                    <a:prstGeom prst="rect">
                      <a:avLst/>
                    </a:prstGeom>
                    <a:noFill/>
                    <a:ln>
                      <a:noFill/>
                    </a:ln>
                  </pic:spPr>
                </pic:pic>
              </a:graphicData>
            </a:graphic>
          </wp:inline>
        </w:drawing>
      </w:r>
    </w:p>
    <w:p w14:paraId="4EC188DB"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5.4-1 </w:t>
      </w:r>
      <w:r>
        <w:rPr>
          <w:rFonts w:cs="Times New Roman" w:hint="eastAsia"/>
          <w:b/>
          <w:sz w:val="24"/>
        </w:rPr>
        <w:t>康巴什区</w:t>
      </w:r>
      <w:r>
        <w:rPr>
          <w:rFonts w:cs="Times New Roman" w:hint="eastAsia"/>
          <w:b/>
          <w:sz w:val="24"/>
        </w:rPr>
        <w:t>2#</w:t>
      </w:r>
      <w:r>
        <w:rPr>
          <w:rFonts w:cs="Times New Roman" w:hint="eastAsia"/>
          <w:b/>
          <w:sz w:val="24"/>
        </w:rPr>
        <w:t>风光同场项目场址示意图</w:t>
      </w:r>
    </w:p>
    <w:p w14:paraId="71AC11D2" w14:textId="77777777" w:rsidR="00A739F2" w:rsidRDefault="00597D48">
      <w:r>
        <w:rPr>
          <w:rFonts w:hint="eastAsia"/>
        </w:rPr>
        <w:t>康巴什区</w:t>
      </w:r>
      <w:r>
        <w:rPr>
          <w:rFonts w:hint="eastAsia"/>
        </w:rPr>
        <w:t>3</w:t>
      </w:r>
      <w:r>
        <w:t>#</w:t>
      </w:r>
      <w:r>
        <w:rPr>
          <w:rFonts w:hint="eastAsia"/>
        </w:rPr>
        <w:t>风光同场项目位于格德热格社区西部，万和社区东部，场址北部、中部、南部分别</w:t>
      </w:r>
      <w:proofErr w:type="gramStart"/>
      <w:r>
        <w:rPr>
          <w:rFonts w:hint="eastAsia"/>
        </w:rPr>
        <w:t>有荣乌高速</w:t>
      </w:r>
      <w:proofErr w:type="gramEnd"/>
      <w:r>
        <w:rPr>
          <w:rFonts w:hint="eastAsia"/>
        </w:rPr>
        <w:t>、东苏高速、东阿高速连接线穿过，交通便利，场址内海拔在</w:t>
      </w:r>
      <w:r>
        <w:rPr>
          <w:rFonts w:hint="eastAsia"/>
        </w:rPr>
        <w:t>1</w:t>
      </w:r>
      <w:r>
        <w:t>2</w:t>
      </w:r>
      <w:r>
        <w:rPr>
          <w:rFonts w:hint="eastAsia"/>
        </w:rPr>
        <w:t>50</w:t>
      </w:r>
      <w:r>
        <w:rPr>
          <w:rFonts w:hint="eastAsia"/>
        </w:rPr>
        <w:t>～</w:t>
      </w:r>
      <w:r>
        <w:rPr>
          <w:rFonts w:hint="eastAsia"/>
        </w:rPr>
        <w:t>1</w:t>
      </w:r>
      <w:r>
        <w:t>3</w:t>
      </w:r>
      <w:r>
        <w:rPr>
          <w:rFonts w:hint="eastAsia"/>
        </w:rPr>
        <w:t>50m</w:t>
      </w:r>
      <w:r>
        <w:rPr>
          <w:rFonts w:hint="eastAsia"/>
        </w:rPr>
        <w:t>之间，</w:t>
      </w:r>
      <w:proofErr w:type="gramStart"/>
      <w:r>
        <w:rPr>
          <w:rFonts w:hint="eastAsia"/>
        </w:rPr>
        <w:t>场址区</w:t>
      </w:r>
      <w:proofErr w:type="gramEnd"/>
      <w:r>
        <w:rPr>
          <w:rFonts w:hint="eastAsia"/>
        </w:rPr>
        <w:t>总体呈现两侧高中间低的特点，地势总体较为平缓，适宜开发风光同场项目。场内以草地为主，建设条件较好，</w:t>
      </w:r>
      <w:r>
        <w:rPr>
          <w:rFonts w:hint="eastAsia"/>
        </w:rPr>
        <w:lastRenderedPageBreak/>
        <w:t>项目场址内</w:t>
      </w:r>
      <w:r>
        <w:rPr>
          <w:rFonts w:hint="eastAsia"/>
        </w:rPr>
        <w:t>120m</w:t>
      </w:r>
      <w:r>
        <w:rPr>
          <w:rFonts w:hint="eastAsia"/>
        </w:rPr>
        <w:t>高度风速在</w:t>
      </w:r>
      <w:r>
        <w:rPr>
          <w:rFonts w:hint="eastAsia"/>
        </w:rPr>
        <w:t>6.1</w:t>
      </w:r>
      <w:r>
        <w:rPr>
          <w:rFonts w:hint="eastAsia"/>
        </w:rPr>
        <w:t>～</w:t>
      </w:r>
      <w:r>
        <w:rPr>
          <w:rFonts w:hint="eastAsia"/>
        </w:rPr>
        <w:t>7.0m/s</w:t>
      </w:r>
      <w:r>
        <w:rPr>
          <w:rFonts w:hint="eastAsia"/>
        </w:rPr>
        <w:t>之间，风能资源较好，场址规划面积</w:t>
      </w:r>
      <w:r>
        <w:rPr>
          <w:rFonts w:hint="eastAsia"/>
        </w:rPr>
        <w:t>32.2km</w:t>
      </w:r>
      <w:r>
        <w:rPr>
          <w:rFonts w:hint="eastAsia"/>
          <w:vertAlign w:val="superscript"/>
        </w:rPr>
        <w:t>2</w:t>
      </w:r>
      <w:r>
        <w:rPr>
          <w:rFonts w:hint="eastAsia"/>
        </w:rPr>
        <w:t>，规划风电</w:t>
      </w:r>
      <w:r>
        <w:rPr>
          <w:rFonts w:hint="eastAsia"/>
        </w:rPr>
        <w:t>20</w:t>
      </w:r>
      <w:r>
        <w:rPr>
          <w:rFonts w:hint="eastAsia"/>
        </w:rPr>
        <w:t>万千瓦，利用小时数为</w:t>
      </w:r>
      <w:r>
        <w:rPr>
          <w:rFonts w:hint="eastAsia"/>
        </w:rPr>
        <w:t>2500h</w:t>
      </w:r>
      <w:r>
        <w:rPr>
          <w:rFonts w:hint="eastAsia"/>
        </w:rPr>
        <w:t>，规划光伏</w:t>
      </w:r>
      <w:r>
        <w:rPr>
          <w:rFonts w:hint="eastAsia"/>
        </w:rPr>
        <w:t>100</w:t>
      </w:r>
      <w:r>
        <w:rPr>
          <w:rFonts w:hint="eastAsia"/>
        </w:rPr>
        <w:t>万千瓦，首年利用小时数（直流侧）</w:t>
      </w:r>
      <w:r>
        <w:rPr>
          <w:rFonts w:hint="eastAsia"/>
        </w:rPr>
        <w:t>1</w:t>
      </w:r>
      <w:r>
        <w:t>6</w:t>
      </w:r>
      <w:r>
        <w:rPr>
          <w:rFonts w:hint="eastAsia"/>
        </w:rPr>
        <w:t>82h</w:t>
      </w:r>
      <w:r>
        <w:rPr>
          <w:rFonts w:hint="eastAsia"/>
        </w:rPr>
        <w:t>。</w:t>
      </w:r>
    </w:p>
    <w:p w14:paraId="7134A471" w14:textId="77777777" w:rsidR="00A739F2" w:rsidRDefault="00597D48">
      <w:pPr>
        <w:ind w:firstLineChars="0" w:firstLine="0"/>
        <w:jc w:val="center"/>
      </w:pPr>
      <w:r>
        <w:rPr>
          <w:noProof/>
        </w:rPr>
        <w:drawing>
          <wp:inline distT="0" distB="0" distL="114300" distR="114300" wp14:anchorId="38A88B60" wp14:editId="34F7B3C6">
            <wp:extent cx="4696460" cy="4991100"/>
            <wp:effectExtent l="0" t="0" r="12700" b="762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38"/>
                    <a:srcRect l="-1" r="241" b="4306"/>
                    <a:stretch>
                      <a:fillRect/>
                    </a:stretch>
                  </pic:blipFill>
                  <pic:spPr>
                    <a:xfrm>
                      <a:off x="0" y="0"/>
                      <a:ext cx="4696460" cy="4991100"/>
                    </a:xfrm>
                    <a:prstGeom prst="rect">
                      <a:avLst/>
                    </a:prstGeom>
                    <a:noFill/>
                    <a:ln>
                      <a:noFill/>
                    </a:ln>
                  </pic:spPr>
                </pic:pic>
              </a:graphicData>
            </a:graphic>
          </wp:inline>
        </w:drawing>
      </w:r>
    </w:p>
    <w:p w14:paraId="0B956656"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5.4-2 </w:t>
      </w:r>
      <w:r>
        <w:rPr>
          <w:rFonts w:cs="Times New Roman" w:hint="eastAsia"/>
          <w:b/>
          <w:sz w:val="24"/>
        </w:rPr>
        <w:t>康巴什区</w:t>
      </w:r>
      <w:r>
        <w:rPr>
          <w:rFonts w:cs="Times New Roman" w:hint="eastAsia"/>
          <w:b/>
          <w:sz w:val="24"/>
        </w:rPr>
        <w:t>3#</w:t>
      </w:r>
      <w:r>
        <w:rPr>
          <w:rFonts w:cs="Times New Roman" w:hint="eastAsia"/>
          <w:b/>
          <w:sz w:val="24"/>
        </w:rPr>
        <w:t>风光同场项目场址示意图</w:t>
      </w:r>
    </w:p>
    <w:p w14:paraId="7D839847" w14:textId="77777777" w:rsidR="00A739F2" w:rsidRDefault="00597D48">
      <w:r>
        <w:rPr>
          <w:rFonts w:hint="eastAsia"/>
        </w:rPr>
        <w:t>康巴什区</w:t>
      </w:r>
      <w:r>
        <w:rPr>
          <w:rFonts w:hint="eastAsia"/>
        </w:rPr>
        <w:t>4</w:t>
      </w:r>
      <w:r>
        <w:t>#</w:t>
      </w:r>
      <w:r>
        <w:rPr>
          <w:rFonts w:hint="eastAsia"/>
        </w:rPr>
        <w:t>风光同场项目位于格德热格社区东部，场区位于机场高速以东，场区中心有公路自西向东穿过，交通便利，场址内海拔在</w:t>
      </w:r>
      <w:r>
        <w:rPr>
          <w:rFonts w:hint="eastAsia"/>
        </w:rPr>
        <w:t>1</w:t>
      </w:r>
      <w:r>
        <w:t>27</w:t>
      </w:r>
      <w:r>
        <w:rPr>
          <w:rFonts w:hint="eastAsia"/>
        </w:rPr>
        <w:t>0</w:t>
      </w:r>
      <w:r>
        <w:rPr>
          <w:rFonts w:hint="eastAsia"/>
        </w:rPr>
        <w:t>～</w:t>
      </w:r>
      <w:r>
        <w:rPr>
          <w:rFonts w:hint="eastAsia"/>
        </w:rPr>
        <w:t>1</w:t>
      </w:r>
      <w:r>
        <w:t>39</w:t>
      </w:r>
      <w:r>
        <w:rPr>
          <w:rFonts w:hint="eastAsia"/>
        </w:rPr>
        <w:t>0</w:t>
      </w:r>
      <w:r>
        <w:rPr>
          <w:rFonts w:hint="eastAsia"/>
        </w:rPr>
        <w:t>m</w:t>
      </w:r>
      <w:r>
        <w:rPr>
          <w:rFonts w:hint="eastAsia"/>
        </w:rPr>
        <w:t>之间，</w:t>
      </w:r>
      <w:proofErr w:type="gramStart"/>
      <w:r>
        <w:rPr>
          <w:rFonts w:hint="eastAsia"/>
        </w:rPr>
        <w:t>场址区</w:t>
      </w:r>
      <w:proofErr w:type="gramEnd"/>
      <w:r>
        <w:rPr>
          <w:rFonts w:hint="eastAsia"/>
        </w:rPr>
        <w:t>北部沟壑较多，南部</w:t>
      </w:r>
      <w:r>
        <w:rPr>
          <w:rFonts w:hint="eastAsia"/>
        </w:rPr>
        <w:lastRenderedPageBreak/>
        <w:t>较为平缓，适宜开发风光同场项目。场内以草地为主，建设条件较好，项目场址内</w:t>
      </w:r>
      <w:r>
        <w:rPr>
          <w:rFonts w:hint="eastAsia"/>
        </w:rPr>
        <w:t>120m</w:t>
      </w:r>
      <w:r>
        <w:rPr>
          <w:rFonts w:hint="eastAsia"/>
        </w:rPr>
        <w:t>高度风速在</w:t>
      </w:r>
      <w:r>
        <w:t>5.6</w:t>
      </w:r>
      <w:r>
        <w:rPr>
          <w:rFonts w:hint="eastAsia"/>
        </w:rPr>
        <w:t>～</w:t>
      </w:r>
      <w:r>
        <w:t>6.23</w:t>
      </w:r>
      <w:r>
        <w:rPr>
          <w:rFonts w:hint="eastAsia"/>
        </w:rPr>
        <w:t>m/s</w:t>
      </w:r>
      <w:r>
        <w:rPr>
          <w:rFonts w:hint="eastAsia"/>
        </w:rPr>
        <w:t>之间，风能资源较好，场址规划面积</w:t>
      </w:r>
      <w:r>
        <w:rPr>
          <w:rFonts w:hint="eastAsia"/>
        </w:rPr>
        <w:t>26.2km</w:t>
      </w:r>
      <w:r>
        <w:rPr>
          <w:rFonts w:hint="eastAsia"/>
          <w:vertAlign w:val="superscript"/>
        </w:rPr>
        <w:t>2</w:t>
      </w:r>
      <w:r>
        <w:rPr>
          <w:rFonts w:hint="eastAsia"/>
        </w:rPr>
        <w:t>，规划风电</w:t>
      </w:r>
      <w:r>
        <w:t>15</w:t>
      </w:r>
      <w:r>
        <w:rPr>
          <w:rFonts w:hint="eastAsia"/>
        </w:rPr>
        <w:t>万千瓦，利用小时数为</w:t>
      </w:r>
      <w:r>
        <w:rPr>
          <w:rFonts w:hint="eastAsia"/>
        </w:rPr>
        <w:t>2</w:t>
      </w:r>
      <w:r>
        <w:t>2</w:t>
      </w:r>
      <w:r>
        <w:rPr>
          <w:rFonts w:hint="eastAsia"/>
        </w:rPr>
        <w:t>00h</w:t>
      </w:r>
      <w:r>
        <w:rPr>
          <w:rFonts w:hint="eastAsia"/>
        </w:rPr>
        <w:t>，规划光伏</w:t>
      </w:r>
      <w:r>
        <w:rPr>
          <w:rFonts w:hint="eastAsia"/>
        </w:rPr>
        <w:t>90</w:t>
      </w:r>
      <w:r>
        <w:rPr>
          <w:rFonts w:hint="eastAsia"/>
        </w:rPr>
        <w:t>万千瓦，首年利用小时数（直流侧）</w:t>
      </w:r>
      <w:r>
        <w:rPr>
          <w:rFonts w:hint="eastAsia"/>
        </w:rPr>
        <w:t>1</w:t>
      </w:r>
      <w:r>
        <w:t>6</w:t>
      </w:r>
      <w:r>
        <w:rPr>
          <w:rFonts w:hint="eastAsia"/>
        </w:rPr>
        <w:t>67h</w:t>
      </w:r>
      <w:r>
        <w:rPr>
          <w:rFonts w:hint="eastAsia"/>
        </w:rPr>
        <w:t>。</w:t>
      </w:r>
    </w:p>
    <w:p w14:paraId="3C75CDFC" w14:textId="77777777" w:rsidR="00A739F2" w:rsidRDefault="00597D48">
      <w:pPr>
        <w:ind w:firstLineChars="0" w:firstLine="0"/>
        <w:jc w:val="center"/>
      </w:pPr>
      <w:r>
        <w:rPr>
          <w:noProof/>
        </w:rPr>
        <w:drawing>
          <wp:inline distT="0" distB="0" distL="114300" distR="114300" wp14:anchorId="1DB87ADD" wp14:editId="494E3226">
            <wp:extent cx="5082540" cy="4960620"/>
            <wp:effectExtent l="0" t="0" r="7620" b="7620"/>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39"/>
                    <a:stretch>
                      <a:fillRect/>
                    </a:stretch>
                  </pic:blipFill>
                  <pic:spPr>
                    <a:xfrm>
                      <a:off x="0" y="0"/>
                      <a:ext cx="5082540" cy="4960620"/>
                    </a:xfrm>
                    <a:prstGeom prst="rect">
                      <a:avLst/>
                    </a:prstGeom>
                    <a:noFill/>
                    <a:ln>
                      <a:noFill/>
                    </a:ln>
                  </pic:spPr>
                </pic:pic>
              </a:graphicData>
            </a:graphic>
          </wp:inline>
        </w:drawing>
      </w:r>
    </w:p>
    <w:p w14:paraId="0E6C0F7F"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5.4-3 </w:t>
      </w:r>
      <w:r>
        <w:rPr>
          <w:rFonts w:cs="Times New Roman" w:hint="eastAsia"/>
          <w:b/>
          <w:sz w:val="24"/>
        </w:rPr>
        <w:t>康巴什区</w:t>
      </w:r>
      <w:r>
        <w:rPr>
          <w:rFonts w:cs="Times New Roman" w:hint="eastAsia"/>
          <w:b/>
          <w:sz w:val="24"/>
        </w:rPr>
        <w:t>4#</w:t>
      </w:r>
      <w:r>
        <w:rPr>
          <w:rFonts w:cs="Times New Roman" w:hint="eastAsia"/>
          <w:b/>
          <w:sz w:val="24"/>
        </w:rPr>
        <w:t>风光同场项目场址示意图</w:t>
      </w:r>
    </w:p>
    <w:p w14:paraId="629B3188" w14:textId="77777777" w:rsidR="00A739F2" w:rsidRDefault="00597D48">
      <w:pPr>
        <w:widowControl/>
        <w:kinsoku w:val="0"/>
        <w:autoSpaceDE w:val="0"/>
        <w:autoSpaceDN w:val="0"/>
        <w:adjustRightInd w:val="0"/>
        <w:spacing w:before="97" w:line="221" w:lineRule="auto"/>
        <w:ind w:left="601" w:firstLineChars="0" w:firstLine="0"/>
        <w:jc w:val="left"/>
        <w:textAlignment w:val="baseline"/>
        <w:outlineLvl w:val="0"/>
        <w:rPr>
          <w:rFonts w:eastAsia="黑体" w:cs="黑体"/>
          <w:snapToGrid w:val="0"/>
          <w:color w:val="000000"/>
          <w:spacing w:val="-2"/>
          <w:kern w:val="0"/>
          <w:szCs w:val="32"/>
        </w:rPr>
      </w:pPr>
      <w:bookmarkStart w:id="206" w:name="_Toc27189"/>
      <w:bookmarkStart w:id="207" w:name="_Toc25363"/>
      <w:bookmarkStart w:id="208" w:name="_Toc14942"/>
      <w:bookmarkStart w:id="209" w:name="_Toc4606"/>
      <w:bookmarkStart w:id="210" w:name="_Toc10317"/>
      <w:bookmarkStart w:id="211" w:name="_Toc21845"/>
      <w:bookmarkStart w:id="212" w:name="_Toc18870"/>
      <w:bookmarkStart w:id="213" w:name="_Toc11425"/>
      <w:r>
        <w:rPr>
          <w:rFonts w:eastAsia="黑体" w:cs="黑体" w:hint="eastAsia"/>
          <w:snapToGrid w:val="0"/>
          <w:color w:val="000000"/>
          <w:spacing w:val="-2"/>
          <w:kern w:val="0"/>
          <w:szCs w:val="32"/>
        </w:rPr>
        <w:t>六、因地制宜发展分布式新能源</w:t>
      </w:r>
      <w:bookmarkEnd w:id="206"/>
      <w:bookmarkEnd w:id="207"/>
      <w:bookmarkEnd w:id="208"/>
      <w:bookmarkEnd w:id="209"/>
      <w:bookmarkEnd w:id="210"/>
      <w:bookmarkEnd w:id="211"/>
      <w:bookmarkEnd w:id="212"/>
      <w:bookmarkEnd w:id="213"/>
    </w:p>
    <w:p w14:paraId="76C829A9" w14:textId="77777777" w:rsidR="00A739F2" w:rsidRDefault="00597D48">
      <w:pPr>
        <w:pStyle w:val="af6"/>
        <w:rPr>
          <w:rFonts w:ascii="Times New Roman" w:hAnsi="Times New Roman"/>
        </w:rPr>
      </w:pPr>
      <w:bookmarkStart w:id="214" w:name="_Toc24025"/>
      <w:bookmarkStart w:id="215" w:name="_Toc2446"/>
      <w:bookmarkStart w:id="216" w:name="_Toc12268"/>
      <w:bookmarkStart w:id="217" w:name="_Toc32231"/>
      <w:bookmarkStart w:id="218" w:name="_Toc2367"/>
      <w:bookmarkStart w:id="219" w:name="_Toc25396"/>
      <w:bookmarkStart w:id="220" w:name="_Toc670"/>
      <w:r>
        <w:rPr>
          <w:rFonts w:ascii="Times New Roman" w:hAnsi="Times New Roman" w:hint="eastAsia"/>
        </w:rPr>
        <w:lastRenderedPageBreak/>
        <w:t>（一）结合城市基础设施建设分布式新能源项目</w:t>
      </w:r>
      <w:bookmarkEnd w:id="214"/>
      <w:bookmarkEnd w:id="215"/>
      <w:bookmarkEnd w:id="216"/>
      <w:bookmarkEnd w:id="217"/>
      <w:bookmarkEnd w:id="218"/>
      <w:bookmarkEnd w:id="219"/>
    </w:p>
    <w:p w14:paraId="77F330E0" w14:textId="77777777" w:rsidR="00A739F2" w:rsidRDefault="00597D48">
      <w:pPr>
        <w:rPr>
          <w:rFonts w:cs="微软雅黑"/>
          <w:szCs w:val="32"/>
        </w:rPr>
      </w:pPr>
      <w:r>
        <w:rPr>
          <w:rFonts w:cs="微软雅黑" w:hint="eastAsia"/>
          <w:szCs w:val="32"/>
        </w:rPr>
        <w:t>鼓励在城市路灯照明、城市景观以及通信基站、交通信号灯、污水处理厂、垃圾填埋场等领域推广分布式光伏电源。充分利用康巴什区的高速枢纽、服务区、加油站、高速路护坡等空闲地建设分布式光伏项目。</w:t>
      </w:r>
    </w:p>
    <w:p w14:paraId="47A70493" w14:textId="77777777" w:rsidR="00A739F2" w:rsidRDefault="00597D48">
      <w:pPr>
        <w:rPr>
          <w:rFonts w:cs="微软雅黑"/>
          <w:szCs w:val="32"/>
        </w:rPr>
      </w:pPr>
      <w:r>
        <w:rPr>
          <w:rFonts w:cs="微软雅黑" w:hint="eastAsia"/>
          <w:szCs w:val="32"/>
        </w:rPr>
        <w:t>当前康巴什区内</w:t>
      </w:r>
      <w:proofErr w:type="gramStart"/>
      <w:r>
        <w:rPr>
          <w:rFonts w:cs="微软雅黑" w:hint="eastAsia"/>
          <w:szCs w:val="32"/>
        </w:rPr>
        <w:t>有荣乌高速</w:t>
      </w:r>
      <w:proofErr w:type="gramEnd"/>
      <w:r>
        <w:rPr>
          <w:rFonts w:cs="微软雅黑" w:hint="eastAsia"/>
          <w:szCs w:val="32"/>
        </w:rPr>
        <w:t>东西向穿过，长度约</w:t>
      </w:r>
      <w:r>
        <w:rPr>
          <w:rFonts w:cs="微软雅黑" w:hint="eastAsia"/>
          <w:szCs w:val="32"/>
        </w:rPr>
        <w:t>2</w:t>
      </w:r>
      <w:r>
        <w:rPr>
          <w:rFonts w:cs="微软雅黑"/>
          <w:szCs w:val="32"/>
        </w:rPr>
        <w:t>0</w:t>
      </w:r>
      <w:r>
        <w:rPr>
          <w:rFonts w:cs="微软雅黑" w:hint="eastAsia"/>
          <w:szCs w:val="32"/>
        </w:rPr>
        <w:t>km</w:t>
      </w:r>
      <w:r>
        <w:rPr>
          <w:rFonts w:cs="微软雅黑" w:hint="eastAsia"/>
          <w:szCs w:val="32"/>
        </w:rPr>
        <w:t>，南面护坡坡度适宜布置光伏。根据测算，</w:t>
      </w:r>
      <w:proofErr w:type="gramStart"/>
      <w:r>
        <w:rPr>
          <w:rFonts w:cs="微软雅黑" w:hint="eastAsia"/>
          <w:szCs w:val="32"/>
        </w:rPr>
        <w:t>利用荣乌高速</w:t>
      </w:r>
      <w:proofErr w:type="gramEnd"/>
      <w:r>
        <w:rPr>
          <w:rFonts w:cs="微软雅黑" w:hint="eastAsia"/>
          <w:szCs w:val="32"/>
        </w:rPr>
        <w:t>南面护坡可布置光伏</w:t>
      </w:r>
      <w:r>
        <w:rPr>
          <w:rFonts w:cs="微软雅黑" w:hint="eastAsia"/>
          <w:szCs w:val="32"/>
        </w:rPr>
        <w:t>2</w:t>
      </w:r>
      <w:r>
        <w:rPr>
          <w:rFonts w:cs="微软雅黑" w:hint="eastAsia"/>
          <w:szCs w:val="32"/>
        </w:rPr>
        <w:t>万千瓦。此外，利用康巴什区高速枢纽及马王庙服务区等位置可规划建设分散式光</w:t>
      </w:r>
      <w:proofErr w:type="gramStart"/>
      <w:r>
        <w:rPr>
          <w:rFonts w:cs="微软雅黑" w:hint="eastAsia"/>
          <w:szCs w:val="32"/>
        </w:rPr>
        <w:t>伏项目</w:t>
      </w:r>
      <w:proofErr w:type="gramEnd"/>
      <w:r>
        <w:rPr>
          <w:rFonts w:cs="微软雅黑" w:hint="eastAsia"/>
          <w:szCs w:val="32"/>
        </w:rPr>
        <w:t>约</w:t>
      </w:r>
      <w:r>
        <w:rPr>
          <w:rFonts w:cs="微软雅黑" w:hint="eastAsia"/>
          <w:szCs w:val="32"/>
        </w:rPr>
        <w:t>1</w:t>
      </w:r>
      <w:r>
        <w:rPr>
          <w:rFonts w:cs="微软雅黑" w:hint="eastAsia"/>
          <w:szCs w:val="32"/>
        </w:rPr>
        <w:t>万千瓦。</w:t>
      </w:r>
    </w:p>
    <w:p w14:paraId="6D675756" w14:textId="77777777" w:rsidR="00A739F2" w:rsidRDefault="00597D48">
      <w:pPr>
        <w:pStyle w:val="af4"/>
      </w:pPr>
      <w:r>
        <w:rPr>
          <w:rFonts w:hint="eastAsia"/>
        </w:rPr>
        <w:t>表</w:t>
      </w:r>
      <w:r>
        <w:rPr>
          <w:rFonts w:hint="eastAsia"/>
        </w:rPr>
        <w:t>6</w:t>
      </w:r>
      <w:r>
        <w:t>.</w:t>
      </w:r>
      <w:r>
        <w:rPr>
          <w:rFonts w:hint="eastAsia"/>
        </w:rPr>
        <w:t>1</w:t>
      </w:r>
      <w:r>
        <w:t xml:space="preserve">-1 </w:t>
      </w:r>
      <w:r>
        <w:rPr>
          <w:rFonts w:hint="eastAsia"/>
        </w:rPr>
        <w:t>利用交通基础设施建设分散式光</w:t>
      </w:r>
      <w:proofErr w:type="gramStart"/>
      <w:r>
        <w:rPr>
          <w:rFonts w:hint="eastAsia"/>
        </w:rPr>
        <w:t>伏项目</w:t>
      </w:r>
      <w:proofErr w:type="gramEnd"/>
      <w:r>
        <w:rPr>
          <w:rFonts w:hint="eastAsia"/>
        </w:rPr>
        <w:t>表</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5"/>
        <w:gridCol w:w="5047"/>
        <w:gridCol w:w="2905"/>
      </w:tblGrid>
      <w:tr w:rsidR="00A739F2" w14:paraId="31E13A6E" w14:textId="77777777">
        <w:trPr>
          <w:trHeight w:val="285"/>
        </w:trPr>
        <w:tc>
          <w:tcPr>
            <w:tcW w:w="610" w:type="pct"/>
            <w:tcBorders>
              <w:tl2br w:val="nil"/>
              <w:tr2bl w:val="nil"/>
            </w:tcBorders>
            <w:shd w:val="clear" w:color="auto" w:fill="auto"/>
            <w:noWrap/>
            <w:vAlign w:val="center"/>
          </w:tcPr>
          <w:p w14:paraId="308E7993" w14:textId="77777777" w:rsidR="00A739F2" w:rsidRDefault="00597D48">
            <w:pPr>
              <w:widowControl/>
              <w:ind w:firstLineChars="0" w:firstLine="0"/>
              <w:jc w:val="center"/>
              <w:rPr>
                <w:rFonts w:cs="仿宋"/>
                <w:b/>
                <w:bCs/>
                <w:color w:val="000000"/>
                <w:kern w:val="0"/>
                <w:sz w:val="20"/>
                <w:szCs w:val="20"/>
                <w:lang w:bidi="ar"/>
              </w:rPr>
            </w:pPr>
            <w:r>
              <w:rPr>
                <w:rFonts w:cs="仿宋" w:hint="eastAsia"/>
                <w:b/>
                <w:bCs/>
                <w:color w:val="000000"/>
                <w:kern w:val="0"/>
                <w:sz w:val="20"/>
                <w:szCs w:val="20"/>
                <w:lang w:bidi="ar"/>
              </w:rPr>
              <w:t>序号</w:t>
            </w:r>
          </w:p>
        </w:tc>
        <w:tc>
          <w:tcPr>
            <w:tcW w:w="2785" w:type="pct"/>
            <w:tcBorders>
              <w:tl2br w:val="nil"/>
              <w:tr2bl w:val="nil"/>
            </w:tcBorders>
            <w:shd w:val="clear" w:color="auto" w:fill="auto"/>
            <w:noWrap/>
            <w:vAlign w:val="center"/>
          </w:tcPr>
          <w:p w14:paraId="64DAD5A4" w14:textId="77777777" w:rsidR="00A739F2" w:rsidRDefault="00597D48">
            <w:pPr>
              <w:widowControl/>
              <w:ind w:firstLineChars="0" w:firstLine="0"/>
              <w:jc w:val="center"/>
              <w:rPr>
                <w:rFonts w:cs="仿宋"/>
                <w:b/>
                <w:bCs/>
                <w:color w:val="000000"/>
                <w:kern w:val="0"/>
                <w:sz w:val="20"/>
                <w:szCs w:val="20"/>
                <w:lang w:bidi="ar"/>
              </w:rPr>
            </w:pPr>
            <w:r>
              <w:rPr>
                <w:rFonts w:cs="仿宋" w:hint="eastAsia"/>
                <w:b/>
                <w:bCs/>
                <w:color w:val="000000"/>
                <w:kern w:val="0"/>
                <w:sz w:val="20"/>
                <w:szCs w:val="20"/>
                <w:lang w:bidi="ar"/>
              </w:rPr>
              <w:t>项目名称</w:t>
            </w:r>
          </w:p>
        </w:tc>
        <w:tc>
          <w:tcPr>
            <w:tcW w:w="1604" w:type="pct"/>
            <w:tcBorders>
              <w:tl2br w:val="nil"/>
              <w:tr2bl w:val="nil"/>
            </w:tcBorders>
            <w:shd w:val="clear" w:color="auto" w:fill="auto"/>
            <w:noWrap/>
            <w:vAlign w:val="center"/>
          </w:tcPr>
          <w:p w14:paraId="3A42DB3B" w14:textId="77777777" w:rsidR="00A739F2" w:rsidRDefault="00597D48">
            <w:pPr>
              <w:widowControl/>
              <w:ind w:firstLineChars="0" w:firstLine="0"/>
              <w:jc w:val="center"/>
              <w:rPr>
                <w:rFonts w:cs="仿宋"/>
                <w:b/>
                <w:bCs/>
                <w:color w:val="000000"/>
                <w:kern w:val="0"/>
                <w:sz w:val="20"/>
                <w:szCs w:val="20"/>
                <w:lang w:bidi="ar"/>
              </w:rPr>
            </w:pPr>
            <w:r>
              <w:rPr>
                <w:rFonts w:cs="仿宋" w:hint="eastAsia"/>
                <w:b/>
                <w:bCs/>
                <w:color w:val="000000"/>
                <w:kern w:val="0"/>
                <w:sz w:val="20"/>
                <w:szCs w:val="20"/>
                <w:lang w:bidi="ar"/>
              </w:rPr>
              <w:t>光伏规模（</w:t>
            </w:r>
            <w:r>
              <w:rPr>
                <w:rFonts w:cs="仿宋" w:hint="eastAsia"/>
                <w:b/>
                <w:bCs/>
                <w:color w:val="000000"/>
                <w:kern w:val="0"/>
                <w:sz w:val="20"/>
                <w:szCs w:val="20"/>
                <w:lang w:bidi="ar"/>
              </w:rPr>
              <w:t>MW</w:t>
            </w:r>
            <w:r>
              <w:rPr>
                <w:rFonts w:cs="仿宋" w:hint="eastAsia"/>
                <w:b/>
                <w:bCs/>
                <w:color w:val="000000"/>
                <w:kern w:val="0"/>
                <w:sz w:val="20"/>
                <w:szCs w:val="20"/>
                <w:lang w:bidi="ar"/>
              </w:rPr>
              <w:t>）</w:t>
            </w:r>
          </w:p>
        </w:tc>
      </w:tr>
      <w:tr w:rsidR="00A739F2" w14:paraId="30D45311" w14:textId="77777777">
        <w:trPr>
          <w:trHeight w:val="285"/>
        </w:trPr>
        <w:tc>
          <w:tcPr>
            <w:tcW w:w="610" w:type="pct"/>
            <w:tcBorders>
              <w:tl2br w:val="nil"/>
              <w:tr2bl w:val="nil"/>
            </w:tcBorders>
            <w:shd w:val="clear" w:color="auto" w:fill="auto"/>
            <w:noWrap/>
            <w:vAlign w:val="center"/>
          </w:tcPr>
          <w:p w14:paraId="288B5931"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1</w:t>
            </w:r>
          </w:p>
        </w:tc>
        <w:tc>
          <w:tcPr>
            <w:tcW w:w="2785" w:type="pct"/>
            <w:tcBorders>
              <w:tl2br w:val="nil"/>
              <w:tr2bl w:val="nil"/>
            </w:tcBorders>
            <w:shd w:val="clear" w:color="auto" w:fill="auto"/>
            <w:noWrap/>
            <w:vAlign w:val="center"/>
          </w:tcPr>
          <w:p w14:paraId="04E96E5E" w14:textId="77777777" w:rsidR="00A739F2" w:rsidRDefault="00597D48">
            <w:pPr>
              <w:widowControl/>
              <w:ind w:firstLineChars="0" w:firstLine="0"/>
              <w:jc w:val="center"/>
              <w:rPr>
                <w:rFonts w:cs="仿宋"/>
                <w:color w:val="000000"/>
                <w:kern w:val="0"/>
                <w:sz w:val="20"/>
                <w:szCs w:val="20"/>
                <w:lang w:bidi="ar"/>
              </w:rPr>
            </w:pPr>
            <w:proofErr w:type="gramStart"/>
            <w:r>
              <w:rPr>
                <w:rFonts w:cs="仿宋" w:hint="eastAsia"/>
                <w:color w:val="000000"/>
                <w:kern w:val="0"/>
                <w:sz w:val="20"/>
                <w:szCs w:val="20"/>
                <w:lang w:bidi="ar"/>
              </w:rPr>
              <w:t>荣乌高速</w:t>
            </w:r>
            <w:proofErr w:type="gramEnd"/>
            <w:r>
              <w:rPr>
                <w:rFonts w:cs="仿宋" w:hint="eastAsia"/>
                <w:color w:val="000000"/>
                <w:kern w:val="0"/>
                <w:sz w:val="20"/>
                <w:szCs w:val="20"/>
                <w:lang w:bidi="ar"/>
              </w:rPr>
              <w:t>南向护坡光伏</w:t>
            </w:r>
          </w:p>
        </w:tc>
        <w:tc>
          <w:tcPr>
            <w:tcW w:w="1604" w:type="pct"/>
            <w:tcBorders>
              <w:tl2br w:val="nil"/>
              <w:tr2bl w:val="nil"/>
            </w:tcBorders>
            <w:shd w:val="clear" w:color="auto" w:fill="auto"/>
            <w:noWrap/>
            <w:vAlign w:val="center"/>
          </w:tcPr>
          <w:p w14:paraId="0A3BBD28"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20</w:t>
            </w:r>
          </w:p>
        </w:tc>
      </w:tr>
      <w:tr w:rsidR="00A739F2" w14:paraId="40F73C38" w14:textId="77777777">
        <w:trPr>
          <w:trHeight w:val="285"/>
        </w:trPr>
        <w:tc>
          <w:tcPr>
            <w:tcW w:w="610" w:type="pct"/>
            <w:tcBorders>
              <w:tl2br w:val="nil"/>
              <w:tr2bl w:val="nil"/>
            </w:tcBorders>
            <w:shd w:val="clear" w:color="auto" w:fill="auto"/>
            <w:noWrap/>
            <w:vAlign w:val="center"/>
          </w:tcPr>
          <w:p w14:paraId="5C837B1B"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2</w:t>
            </w:r>
          </w:p>
        </w:tc>
        <w:tc>
          <w:tcPr>
            <w:tcW w:w="2785" w:type="pct"/>
            <w:tcBorders>
              <w:tl2br w:val="nil"/>
              <w:tr2bl w:val="nil"/>
            </w:tcBorders>
            <w:shd w:val="clear" w:color="auto" w:fill="auto"/>
            <w:noWrap/>
            <w:vAlign w:val="center"/>
          </w:tcPr>
          <w:p w14:paraId="3B16A309" w14:textId="77777777" w:rsidR="00A739F2" w:rsidRDefault="00597D48">
            <w:pPr>
              <w:widowControl/>
              <w:ind w:firstLineChars="0" w:firstLine="0"/>
              <w:jc w:val="center"/>
              <w:rPr>
                <w:rFonts w:cs="仿宋"/>
                <w:color w:val="000000"/>
                <w:kern w:val="0"/>
                <w:sz w:val="20"/>
                <w:szCs w:val="20"/>
                <w:lang w:bidi="ar"/>
              </w:rPr>
            </w:pPr>
            <w:proofErr w:type="gramStart"/>
            <w:r>
              <w:rPr>
                <w:rFonts w:cs="仿宋" w:hint="eastAsia"/>
                <w:color w:val="000000"/>
                <w:kern w:val="0"/>
                <w:sz w:val="20"/>
                <w:szCs w:val="20"/>
                <w:lang w:bidi="ar"/>
              </w:rPr>
              <w:t>荣乌高速</w:t>
            </w:r>
            <w:proofErr w:type="gramEnd"/>
            <w:r>
              <w:rPr>
                <w:rFonts w:cs="仿宋" w:hint="eastAsia"/>
                <w:color w:val="000000"/>
                <w:kern w:val="0"/>
                <w:sz w:val="20"/>
                <w:szCs w:val="20"/>
                <w:lang w:bidi="ar"/>
              </w:rPr>
              <w:t>与包茂高速枢纽光伏</w:t>
            </w:r>
          </w:p>
        </w:tc>
        <w:tc>
          <w:tcPr>
            <w:tcW w:w="1604" w:type="pct"/>
            <w:tcBorders>
              <w:tl2br w:val="nil"/>
              <w:tr2bl w:val="nil"/>
            </w:tcBorders>
            <w:shd w:val="clear" w:color="auto" w:fill="auto"/>
            <w:noWrap/>
            <w:vAlign w:val="center"/>
          </w:tcPr>
          <w:p w14:paraId="6E795D25"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3</w:t>
            </w:r>
          </w:p>
        </w:tc>
      </w:tr>
      <w:tr w:rsidR="00A739F2" w14:paraId="1EE8DA51" w14:textId="77777777">
        <w:trPr>
          <w:trHeight w:val="285"/>
        </w:trPr>
        <w:tc>
          <w:tcPr>
            <w:tcW w:w="610" w:type="pct"/>
            <w:tcBorders>
              <w:tl2br w:val="nil"/>
              <w:tr2bl w:val="nil"/>
            </w:tcBorders>
            <w:shd w:val="clear" w:color="auto" w:fill="auto"/>
            <w:noWrap/>
            <w:vAlign w:val="center"/>
          </w:tcPr>
          <w:p w14:paraId="67CDF9D9"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3</w:t>
            </w:r>
          </w:p>
        </w:tc>
        <w:tc>
          <w:tcPr>
            <w:tcW w:w="2785" w:type="pct"/>
            <w:tcBorders>
              <w:tl2br w:val="nil"/>
              <w:tr2bl w:val="nil"/>
            </w:tcBorders>
            <w:shd w:val="clear" w:color="auto" w:fill="auto"/>
            <w:noWrap/>
            <w:vAlign w:val="center"/>
          </w:tcPr>
          <w:p w14:paraId="63F6DAF0"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机场高速枢纽光伏</w:t>
            </w:r>
          </w:p>
        </w:tc>
        <w:tc>
          <w:tcPr>
            <w:tcW w:w="1604" w:type="pct"/>
            <w:tcBorders>
              <w:tl2br w:val="nil"/>
              <w:tr2bl w:val="nil"/>
            </w:tcBorders>
            <w:shd w:val="clear" w:color="auto" w:fill="auto"/>
            <w:noWrap/>
            <w:vAlign w:val="center"/>
          </w:tcPr>
          <w:p w14:paraId="103A129D"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3</w:t>
            </w:r>
          </w:p>
        </w:tc>
      </w:tr>
      <w:tr w:rsidR="00A739F2" w14:paraId="2622431A" w14:textId="77777777">
        <w:trPr>
          <w:trHeight w:val="285"/>
        </w:trPr>
        <w:tc>
          <w:tcPr>
            <w:tcW w:w="610" w:type="pct"/>
            <w:tcBorders>
              <w:tl2br w:val="nil"/>
              <w:tr2bl w:val="nil"/>
            </w:tcBorders>
            <w:shd w:val="clear" w:color="auto" w:fill="auto"/>
            <w:noWrap/>
            <w:vAlign w:val="center"/>
          </w:tcPr>
          <w:p w14:paraId="660C21A0"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4</w:t>
            </w:r>
          </w:p>
        </w:tc>
        <w:tc>
          <w:tcPr>
            <w:tcW w:w="2785" w:type="pct"/>
            <w:tcBorders>
              <w:tl2br w:val="nil"/>
              <w:tr2bl w:val="nil"/>
            </w:tcBorders>
            <w:shd w:val="clear" w:color="auto" w:fill="auto"/>
            <w:noWrap/>
            <w:vAlign w:val="center"/>
          </w:tcPr>
          <w:p w14:paraId="7A72ECE9" w14:textId="77777777" w:rsidR="00A739F2" w:rsidRDefault="00597D48">
            <w:pPr>
              <w:widowControl/>
              <w:ind w:firstLineChars="0" w:firstLine="0"/>
              <w:jc w:val="center"/>
              <w:rPr>
                <w:rFonts w:cs="仿宋"/>
                <w:color w:val="000000"/>
                <w:kern w:val="0"/>
                <w:sz w:val="20"/>
                <w:szCs w:val="20"/>
                <w:lang w:bidi="ar"/>
              </w:rPr>
            </w:pPr>
            <w:proofErr w:type="gramStart"/>
            <w:r>
              <w:rPr>
                <w:rFonts w:cs="仿宋" w:hint="eastAsia"/>
                <w:color w:val="000000"/>
                <w:kern w:val="0"/>
                <w:sz w:val="20"/>
                <w:szCs w:val="20"/>
                <w:lang w:bidi="ar"/>
              </w:rPr>
              <w:t>荣乌高速</w:t>
            </w:r>
            <w:proofErr w:type="gramEnd"/>
            <w:r>
              <w:rPr>
                <w:rFonts w:cs="仿宋" w:hint="eastAsia"/>
                <w:color w:val="000000"/>
                <w:kern w:val="0"/>
                <w:sz w:val="20"/>
                <w:szCs w:val="20"/>
                <w:lang w:bidi="ar"/>
              </w:rPr>
              <w:t>与</w:t>
            </w:r>
            <w:r>
              <w:rPr>
                <w:rFonts w:cs="仿宋" w:hint="eastAsia"/>
                <w:color w:val="000000"/>
                <w:kern w:val="0"/>
                <w:sz w:val="20"/>
                <w:szCs w:val="20"/>
                <w:lang w:bidi="ar"/>
              </w:rPr>
              <w:t>210</w:t>
            </w:r>
            <w:r>
              <w:rPr>
                <w:rFonts w:cs="仿宋" w:hint="eastAsia"/>
                <w:color w:val="000000"/>
                <w:kern w:val="0"/>
                <w:sz w:val="20"/>
                <w:szCs w:val="20"/>
                <w:lang w:bidi="ar"/>
              </w:rPr>
              <w:t>国道枢纽光伏</w:t>
            </w:r>
          </w:p>
        </w:tc>
        <w:tc>
          <w:tcPr>
            <w:tcW w:w="1604" w:type="pct"/>
            <w:tcBorders>
              <w:tl2br w:val="nil"/>
              <w:tr2bl w:val="nil"/>
            </w:tcBorders>
            <w:shd w:val="clear" w:color="auto" w:fill="auto"/>
            <w:noWrap/>
            <w:vAlign w:val="center"/>
          </w:tcPr>
          <w:p w14:paraId="25F7952A"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2</w:t>
            </w:r>
          </w:p>
        </w:tc>
      </w:tr>
      <w:tr w:rsidR="00A739F2" w14:paraId="2B01F15A" w14:textId="77777777">
        <w:trPr>
          <w:trHeight w:val="285"/>
        </w:trPr>
        <w:tc>
          <w:tcPr>
            <w:tcW w:w="610" w:type="pct"/>
            <w:tcBorders>
              <w:tl2br w:val="nil"/>
              <w:tr2bl w:val="nil"/>
            </w:tcBorders>
            <w:shd w:val="clear" w:color="auto" w:fill="auto"/>
            <w:noWrap/>
            <w:vAlign w:val="center"/>
          </w:tcPr>
          <w:p w14:paraId="0B7503EE"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5</w:t>
            </w:r>
          </w:p>
        </w:tc>
        <w:tc>
          <w:tcPr>
            <w:tcW w:w="2785" w:type="pct"/>
            <w:tcBorders>
              <w:tl2br w:val="nil"/>
              <w:tr2bl w:val="nil"/>
            </w:tcBorders>
            <w:shd w:val="clear" w:color="auto" w:fill="auto"/>
            <w:noWrap/>
            <w:vAlign w:val="center"/>
          </w:tcPr>
          <w:p w14:paraId="23247FE1"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马王庙服务区两侧光伏</w:t>
            </w:r>
          </w:p>
        </w:tc>
        <w:tc>
          <w:tcPr>
            <w:tcW w:w="1604" w:type="pct"/>
            <w:tcBorders>
              <w:tl2br w:val="nil"/>
              <w:tr2bl w:val="nil"/>
            </w:tcBorders>
            <w:shd w:val="clear" w:color="auto" w:fill="auto"/>
            <w:noWrap/>
            <w:vAlign w:val="center"/>
          </w:tcPr>
          <w:p w14:paraId="4A4A99FA"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1</w:t>
            </w:r>
          </w:p>
        </w:tc>
      </w:tr>
      <w:tr w:rsidR="00A739F2" w14:paraId="6BEB0A3B" w14:textId="77777777">
        <w:trPr>
          <w:trHeight w:val="285"/>
        </w:trPr>
        <w:tc>
          <w:tcPr>
            <w:tcW w:w="610" w:type="pct"/>
            <w:tcBorders>
              <w:tl2br w:val="nil"/>
              <w:tr2bl w:val="nil"/>
            </w:tcBorders>
            <w:shd w:val="clear" w:color="auto" w:fill="auto"/>
            <w:noWrap/>
            <w:vAlign w:val="center"/>
          </w:tcPr>
          <w:p w14:paraId="0494C1E5"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6</w:t>
            </w:r>
          </w:p>
        </w:tc>
        <w:tc>
          <w:tcPr>
            <w:tcW w:w="2785" w:type="pct"/>
            <w:tcBorders>
              <w:tl2br w:val="nil"/>
              <w:tr2bl w:val="nil"/>
            </w:tcBorders>
            <w:shd w:val="clear" w:color="auto" w:fill="auto"/>
            <w:noWrap/>
            <w:vAlign w:val="center"/>
          </w:tcPr>
          <w:p w14:paraId="59DF2A82"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210</w:t>
            </w:r>
            <w:r>
              <w:rPr>
                <w:rFonts w:cs="仿宋" w:hint="eastAsia"/>
                <w:color w:val="000000"/>
                <w:kern w:val="0"/>
                <w:sz w:val="20"/>
                <w:szCs w:val="20"/>
                <w:lang w:bidi="ar"/>
              </w:rPr>
              <w:t>国道</w:t>
            </w:r>
            <w:proofErr w:type="gramStart"/>
            <w:r>
              <w:rPr>
                <w:rFonts w:cs="仿宋" w:hint="eastAsia"/>
                <w:color w:val="000000"/>
                <w:kern w:val="0"/>
                <w:sz w:val="20"/>
                <w:szCs w:val="20"/>
                <w:lang w:bidi="ar"/>
              </w:rPr>
              <w:t>边坡光</w:t>
            </w:r>
            <w:proofErr w:type="gramEnd"/>
            <w:r>
              <w:rPr>
                <w:rFonts w:cs="仿宋" w:hint="eastAsia"/>
                <w:color w:val="000000"/>
                <w:kern w:val="0"/>
                <w:sz w:val="20"/>
                <w:szCs w:val="20"/>
                <w:lang w:bidi="ar"/>
              </w:rPr>
              <w:t>伏</w:t>
            </w:r>
          </w:p>
        </w:tc>
        <w:tc>
          <w:tcPr>
            <w:tcW w:w="1604" w:type="pct"/>
            <w:tcBorders>
              <w:tl2br w:val="nil"/>
              <w:tr2bl w:val="nil"/>
            </w:tcBorders>
            <w:shd w:val="clear" w:color="auto" w:fill="auto"/>
            <w:noWrap/>
            <w:vAlign w:val="center"/>
          </w:tcPr>
          <w:p w14:paraId="616E9F88"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1</w:t>
            </w:r>
          </w:p>
        </w:tc>
      </w:tr>
      <w:tr w:rsidR="00A739F2" w14:paraId="1A0A4B04" w14:textId="77777777">
        <w:trPr>
          <w:trHeight w:val="285"/>
        </w:trPr>
        <w:tc>
          <w:tcPr>
            <w:tcW w:w="3395" w:type="pct"/>
            <w:gridSpan w:val="2"/>
            <w:tcBorders>
              <w:tl2br w:val="nil"/>
              <w:tr2bl w:val="nil"/>
            </w:tcBorders>
            <w:shd w:val="clear" w:color="auto" w:fill="auto"/>
            <w:noWrap/>
            <w:vAlign w:val="center"/>
          </w:tcPr>
          <w:p w14:paraId="32F473DE"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合计</w:t>
            </w:r>
          </w:p>
        </w:tc>
        <w:tc>
          <w:tcPr>
            <w:tcW w:w="1604" w:type="pct"/>
            <w:tcBorders>
              <w:tl2br w:val="nil"/>
              <w:tr2bl w:val="nil"/>
            </w:tcBorders>
            <w:shd w:val="clear" w:color="auto" w:fill="auto"/>
            <w:noWrap/>
            <w:vAlign w:val="center"/>
          </w:tcPr>
          <w:p w14:paraId="670DDDFE" w14:textId="77777777" w:rsidR="00A739F2" w:rsidRDefault="00597D48">
            <w:pPr>
              <w:widowControl/>
              <w:ind w:firstLineChars="0" w:firstLine="0"/>
              <w:jc w:val="center"/>
              <w:rPr>
                <w:rFonts w:cs="仿宋"/>
                <w:color w:val="000000"/>
                <w:kern w:val="0"/>
                <w:sz w:val="20"/>
                <w:szCs w:val="20"/>
                <w:lang w:bidi="ar"/>
              </w:rPr>
            </w:pPr>
            <w:r>
              <w:rPr>
                <w:rFonts w:cs="仿宋" w:hint="eastAsia"/>
                <w:color w:val="000000"/>
                <w:kern w:val="0"/>
                <w:sz w:val="20"/>
                <w:szCs w:val="20"/>
                <w:lang w:bidi="ar"/>
              </w:rPr>
              <w:t>30</w:t>
            </w:r>
          </w:p>
        </w:tc>
      </w:tr>
    </w:tbl>
    <w:p w14:paraId="17ECA7F4" w14:textId="77777777" w:rsidR="00A739F2" w:rsidRDefault="00597D48">
      <w:pPr>
        <w:pStyle w:val="af4"/>
        <w:spacing w:beforeLines="50" w:before="156"/>
      </w:pPr>
      <w:r>
        <w:rPr>
          <w:noProof/>
        </w:rPr>
        <w:lastRenderedPageBreak/>
        <w:drawing>
          <wp:inline distT="0" distB="0" distL="114300" distR="114300" wp14:anchorId="57E6A8AE" wp14:editId="46E202FD">
            <wp:extent cx="2495550" cy="1546225"/>
            <wp:effectExtent l="0" t="0" r="0" b="15875"/>
            <wp:docPr id="4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4"/>
                    <pic:cNvPicPr>
                      <a:picLocks noChangeAspect="1"/>
                    </pic:cNvPicPr>
                  </pic:nvPicPr>
                  <pic:blipFill>
                    <a:blip r:embed="rId40"/>
                    <a:stretch>
                      <a:fillRect/>
                    </a:stretch>
                  </pic:blipFill>
                  <pic:spPr>
                    <a:xfrm>
                      <a:off x="0" y="0"/>
                      <a:ext cx="2495550" cy="1546225"/>
                    </a:xfrm>
                    <a:prstGeom prst="rect">
                      <a:avLst/>
                    </a:prstGeom>
                    <a:noFill/>
                    <a:ln>
                      <a:noFill/>
                    </a:ln>
                  </pic:spPr>
                </pic:pic>
              </a:graphicData>
            </a:graphic>
          </wp:inline>
        </w:drawing>
      </w:r>
      <w:r>
        <w:rPr>
          <w:noProof/>
        </w:rPr>
        <w:drawing>
          <wp:inline distT="0" distB="0" distL="114300" distR="114300" wp14:anchorId="67996D56" wp14:editId="04047CC0">
            <wp:extent cx="2438400" cy="1543685"/>
            <wp:effectExtent l="0" t="0" r="0" b="18415"/>
            <wp:docPr id="4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5"/>
                    <pic:cNvPicPr>
                      <a:picLocks noChangeAspect="1"/>
                    </pic:cNvPicPr>
                  </pic:nvPicPr>
                  <pic:blipFill>
                    <a:blip r:embed="rId41"/>
                    <a:stretch>
                      <a:fillRect/>
                    </a:stretch>
                  </pic:blipFill>
                  <pic:spPr>
                    <a:xfrm>
                      <a:off x="0" y="0"/>
                      <a:ext cx="2438400" cy="1543685"/>
                    </a:xfrm>
                    <a:prstGeom prst="rect">
                      <a:avLst/>
                    </a:prstGeom>
                    <a:noFill/>
                    <a:ln>
                      <a:noFill/>
                    </a:ln>
                  </pic:spPr>
                </pic:pic>
              </a:graphicData>
            </a:graphic>
          </wp:inline>
        </w:drawing>
      </w:r>
    </w:p>
    <w:p w14:paraId="6CF40AC3"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6.1-1 210</w:t>
      </w:r>
      <w:r>
        <w:rPr>
          <w:rFonts w:cs="Times New Roman" w:hint="eastAsia"/>
          <w:b/>
          <w:sz w:val="24"/>
        </w:rPr>
        <w:t>国道南北向边坡</w:t>
      </w:r>
    </w:p>
    <w:p w14:paraId="694DD3D9" w14:textId="77777777" w:rsidR="00A739F2" w:rsidRDefault="00597D48">
      <w:pPr>
        <w:pStyle w:val="af4"/>
        <w:rPr>
          <w:rFonts w:cs="微软雅黑"/>
          <w:szCs w:val="32"/>
        </w:rPr>
      </w:pPr>
      <w:r>
        <w:rPr>
          <w:noProof/>
        </w:rPr>
        <w:drawing>
          <wp:inline distT="0" distB="0" distL="0" distR="0" wp14:anchorId="3B327292" wp14:editId="196213F2">
            <wp:extent cx="2519680" cy="1659255"/>
            <wp:effectExtent l="0" t="0" r="13970" b="1714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42"/>
                    <a:stretch>
                      <a:fillRect/>
                    </a:stretch>
                  </pic:blipFill>
                  <pic:spPr>
                    <a:xfrm>
                      <a:off x="0" y="0"/>
                      <a:ext cx="2520000" cy="1659268"/>
                    </a:xfrm>
                    <a:prstGeom prst="rect">
                      <a:avLst/>
                    </a:prstGeom>
                  </pic:spPr>
                </pic:pic>
              </a:graphicData>
            </a:graphic>
          </wp:inline>
        </w:drawing>
      </w:r>
      <w:r>
        <w:rPr>
          <w:noProof/>
        </w:rPr>
        <w:drawing>
          <wp:inline distT="0" distB="0" distL="0" distR="0" wp14:anchorId="62A3FAA3" wp14:editId="47D3233E">
            <wp:extent cx="2519680" cy="1676400"/>
            <wp:effectExtent l="0" t="0" r="1397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43"/>
                    <a:stretch>
                      <a:fillRect/>
                    </a:stretch>
                  </pic:blipFill>
                  <pic:spPr>
                    <a:xfrm>
                      <a:off x="0" y="0"/>
                      <a:ext cx="2520000" cy="1676592"/>
                    </a:xfrm>
                    <a:prstGeom prst="rect">
                      <a:avLst/>
                    </a:prstGeom>
                  </pic:spPr>
                </pic:pic>
              </a:graphicData>
            </a:graphic>
          </wp:inline>
        </w:drawing>
      </w:r>
    </w:p>
    <w:p w14:paraId="69C51328"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6.1-2 </w:t>
      </w:r>
      <w:r>
        <w:rPr>
          <w:rFonts w:cs="Times New Roman" w:hint="eastAsia"/>
          <w:b/>
          <w:sz w:val="24"/>
        </w:rPr>
        <w:t>交通枢纽光伏示意图</w:t>
      </w:r>
    </w:p>
    <w:p w14:paraId="487CD1E1" w14:textId="77777777" w:rsidR="00A739F2" w:rsidRDefault="00597D48">
      <w:pPr>
        <w:pStyle w:val="af6"/>
        <w:rPr>
          <w:rFonts w:ascii="Times New Roman" w:hAnsi="Times New Roman"/>
        </w:rPr>
      </w:pPr>
      <w:bookmarkStart w:id="221" w:name="_Toc14727"/>
      <w:bookmarkStart w:id="222" w:name="_Toc3881"/>
      <w:bookmarkStart w:id="223" w:name="_Toc3497"/>
      <w:bookmarkStart w:id="224" w:name="_Toc18725"/>
      <w:bookmarkStart w:id="225" w:name="_Toc28925"/>
      <w:bookmarkStart w:id="226" w:name="_Toc28784"/>
      <w:r>
        <w:rPr>
          <w:rFonts w:ascii="Times New Roman" w:hAnsi="Times New Roman" w:hint="eastAsia"/>
        </w:rPr>
        <w:t>（二）积极建设康巴什区整区光伏项目</w:t>
      </w:r>
      <w:bookmarkEnd w:id="220"/>
      <w:bookmarkEnd w:id="221"/>
      <w:bookmarkEnd w:id="222"/>
      <w:bookmarkEnd w:id="223"/>
      <w:bookmarkEnd w:id="224"/>
      <w:bookmarkEnd w:id="225"/>
      <w:bookmarkEnd w:id="226"/>
    </w:p>
    <w:p w14:paraId="778C713D" w14:textId="77777777" w:rsidR="00A739F2" w:rsidRDefault="00597D48">
      <w:pPr>
        <w:rPr>
          <w:rFonts w:cs="微软雅黑"/>
          <w:szCs w:val="32"/>
        </w:rPr>
      </w:pPr>
      <w:r>
        <w:rPr>
          <w:rFonts w:cs="微软雅黑" w:hint="eastAsia"/>
          <w:szCs w:val="32"/>
        </w:rPr>
        <w:t>康巴什区作为鄂尔多斯市的城市形象代表，应发挥示范带头作用，充分利用屋顶资源，大力推动光伏发电应用，在康巴什区城市发展过程中广泛采用光</w:t>
      </w:r>
      <w:proofErr w:type="gramStart"/>
      <w:r>
        <w:rPr>
          <w:rFonts w:cs="微软雅黑" w:hint="eastAsia"/>
          <w:szCs w:val="32"/>
        </w:rPr>
        <w:t>伏建筑</w:t>
      </w:r>
      <w:proofErr w:type="gramEnd"/>
      <w:r>
        <w:rPr>
          <w:rFonts w:cs="微软雅黑" w:hint="eastAsia"/>
          <w:szCs w:val="32"/>
        </w:rPr>
        <w:t>一体化建设。</w:t>
      </w:r>
    </w:p>
    <w:p w14:paraId="61E11C75" w14:textId="77777777" w:rsidR="00A739F2" w:rsidRDefault="00597D48">
      <w:pPr>
        <w:rPr>
          <w:rFonts w:cs="微软雅黑"/>
          <w:szCs w:val="32"/>
        </w:rPr>
      </w:pPr>
      <w:r>
        <w:rPr>
          <w:rFonts w:cs="微软雅黑" w:hint="eastAsia"/>
          <w:szCs w:val="32"/>
        </w:rPr>
        <w:t>充分利用全区政府、企业、学校、医院等屋顶资源，结合停车场、车棚等开发分布式光伏。项目主要位于中心城区和工业园区内，根据屋顶结构特点，采用“自发自用、余电上网”模式，有序开发建设。</w:t>
      </w:r>
    </w:p>
    <w:p w14:paraId="140D928B" w14:textId="77777777" w:rsidR="00A739F2" w:rsidRDefault="00597D48">
      <w:pPr>
        <w:rPr>
          <w:rFonts w:cs="微软雅黑"/>
          <w:szCs w:val="32"/>
        </w:rPr>
      </w:pPr>
      <w:r>
        <w:rPr>
          <w:rFonts w:cs="微软雅黑" w:hint="eastAsia"/>
          <w:szCs w:val="32"/>
        </w:rPr>
        <w:t>鼓励开发应用一体化程度高的建材型、</w:t>
      </w:r>
      <w:proofErr w:type="gramStart"/>
      <w:r>
        <w:rPr>
          <w:rFonts w:cs="微软雅黑" w:hint="eastAsia"/>
          <w:szCs w:val="32"/>
        </w:rPr>
        <w:t>构件型光伏</w:t>
      </w:r>
      <w:proofErr w:type="gramEnd"/>
      <w:r>
        <w:rPr>
          <w:rFonts w:cs="微软雅黑" w:hint="eastAsia"/>
          <w:szCs w:val="32"/>
        </w:rPr>
        <w:t>组件，支持光</w:t>
      </w:r>
      <w:proofErr w:type="gramStart"/>
      <w:r>
        <w:rPr>
          <w:rFonts w:cs="微软雅黑" w:hint="eastAsia"/>
          <w:szCs w:val="32"/>
        </w:rPr>
        <w:t>伏系统</w:t>
      </w:r>
      <w:proofErr w:type="gramEnd"/>
      <w:r>
        <w:rPr>
          <w:rFonts w:cs="微软雅黑" w:hint="eastAsia"/>
          <w:szCs w:val="32"/>
        </w:rPr>
        <w:t>与建筑工程同步设计、同步施工、同步验收。结</w:t>
      </w:r>
      <w:r>
        <w:rPr>
          <w:rFonts w:cs="微软雅黑" w:hint="eastAsia"/>
          <w:szCs w:val="32"/>
        </w:rPr>
        <w:lastRenderedPageBreak/>
        <w:t>合工商业发展、老旧小区改造等，扩大分布式光伏发电应用。鼓励学校、医院、党政机</w:t>
      </w:r>
      <w:r>
        <w:rPr>
          <w:rFonts w:cs="微软雅黑" w:hint="eastAsia"/>
          <w:szCs w:val="32"/>
        </w:rPr>
        <w:t>关、事业单位、居民社区建筑和构筑物、个人家庭自有建筑物等建设分布式光伏发电系统。</w:t>
      </w:r>
    </w:p>
    <w:p w14:paraId="67BB9065" w14:textId="77777777" w:rsidR="00A739F2" w:rsidRDefault="00597D48">
      <w:pPr>
        <w:rPr>
          <w:rFonts w:cs="微软雅黑"/>
          <w:szCs w:val="32"/>
        </w:rPr>
      </w:pPr>
      <w:r>
        <w:rPr>
          <w:rFonts w:cs="微软雅黑" w:hint="eastAsia"/>
          <w:szCs w:val="32"/>
        </w:rPr>
        <w:t>鼓励社会各类主体投资建设分布式光伏发电系统，支持专业化能源服务公司与用户合作，以“合同能源管理”模式投资建设和运营分布式光伏发电设施。加快探索建筑屋顶太阳能热水器和光伏发电系统一体化应用。</w:t>
      </w:r>
    </w:p>
    <w:p w14:paraId="219F71D9" w14:textId="77777777" w:rsidR="00A739F2" w:rsidRDefault="00597D48">
      <w:pPr>
        <w:rPr>
          <w:rFonts w:cs="微软雅黑"/>
          <w:szCs w:val="32"/>
        </w:rPr>
      </w:pPr>
      <w:r>
        <w:rPr>
          <w:rFonts w:cs="微软雅黑" w:hint="eastAsia"/>
          <w:szCs w:val="32"/>
        </w:rPr>
        <w:t>至</w:t>
      </w:r>
      <w:r>
        <w:rPr>
          <w:rFonts w:cs="微软雅黑" w:hint="eastAsia"/>
          <w:szCs w:val="32"/>
        </w:rPr>
        <w:t>20</w:t>
      </w:r>
      <w:r>
        <w:rPr>
          <w:rFonts w:cs="微软雅黑"/>
          <w:szCs w:val="32"/>
        </w:rPr>
        <w:t>3</w:t>
      </w:r>
      <w:r>
        <w:rPr>
          <w:rFonts w:cs="微软雅黑" w:hint="eastAsia"/>
          <w:szCs w:val="32"/>
        </w:rPr>
        <w:t>5</w:t>
      </w:r>
      <w:r>
        <w:rPr>
          <w:rFonts w:cs="微软雅黑" w:hint="eastAsia"/>
          <w:szCs w:val="32"/>
        </w:rPr>
        <w:t>年，全区各类分布式发电项目装机容量达到</w:t>
      </w:r>
      <w:r>
        <w:rPr>
          <w:rFonts w:cs="微软雅黑" w:hint="eastAsia"/>
          <w:szCs w:val="32"/>
        </w:rPr>
        <w:t>1</w:t>
      </w:r>
      <w:r>
        <w:rPr>
          <w:rFonts w:cs="微软雅黑"/>
          <w:szCs w:val="32"/>
        </w:rPr>
        <w:t>5</w:t>
      </w:r>
      <w:r>
        <w:rPr>
          <w:rFonts w:cs="微软雅黑" w:hint="eastAsia"/>
          <w:szCs w:val="32"/>
        </w:rPr>
        <w:t>万千瓦。</w:t>
      </w:r>
    </w:p>
    <w:p w14:paraId="7CDF4EAC" w14:textId="77777777" w:rsidR="00A739F2" w:rsidRDefault="00597D48">
      <w:pPr>
        <w:pStyle w:val="af6"/>
        <w:rPr>
          <w:rFonts w:ascii="Times New Roman" w:hAnsi="Times New Roman"/>
        </w:rPr>
      </w:pPr>
      <w:bookmarkStart w:id="227" w:name="_Toc30923"/>
      <w:bookmarkStart w:id="228" w:name="_Toc2486"/>
      <w:bookmarkStart w:id="229" w:name="_Toc29435"/>
      <w:bookmarkStart w:id="230" w:name="_Toc31368"/>
      <w:bookmarkStart w:id="231" w:name="_Toc9343"/>
      <w:bookmarkStart w:id="232" w:name="_Toc12907"/>
      <w:r>
        <w:rPr>
          <w:rFonts w:ascii="Times New Roman" w:hAnsi="Times New Roman" w:hint="eastAsia"/>
        </w:rPr>
        <w:t>（三）建设分散式风</w:t>
      </w:r>
      <w:proofErr w:type="gramStart"/>
      <w:r>
        <w:rPr>
          <w:rFonts w:ascii="Times New Roman" w:hAnsi="Times New Roman" w:hint="eastAsia"/>
        </w:rPr>
        <w:t>电项目</w:t>
      </w:r>
      <w:proofErr w:type="gramEnd"/>
      <w:r>
        <w:rPr>
          <w:rFonts w:ascii="Times New Roman" w:hAnsi="Times New Roman" w:hint="eastAsia"/>
        </w:rPr>
        <w:t>助力园区</w:t>
      </w:r>
      <w:proofErr w:type="gramStart"/>
      <w:r>
        <w:rPr>
          <w:rFonts w:ascii="Times New Roman" w:hAnsi="Times New Roman" w:hint="eastAsia"/>
        </w:rPr>
        <w:t>绿电消</w:t>
      </w:r>
      <w:proofErr w:type="gramEnd"/>
      <w:r>
        <w:rPr>
          <w:rFonts w:ascii="Times New Roman" w:hAnsi="Times New Roman" w:hint="eastAsia"/>
        </w:rPr>
        <w:t>纳</w:t>
      </w:r>
      <w:bookmarkEnd w:id="227"/>
      <w:bookmarkEnd w:id="228"/>
      <w:bookmarkEnd w:id="229"/>
      <w:bookmarkEnd w:id="230"/>
      <w:bookmarkEnd w:id="231"/>
      <w:bookmarkEnd w:id="232"/>
    </w:p>
    <w:p w14:paraId="1DDA0935" w14:textId="77777777" w:rsidR="00A739F2" w:rsidRDefault="00597D48">
      <w:r>
        <w:rPr>
          <w:rFonts w:hint="eastAsia"/>
        </w:rPr>
        <w:t>充分发挥紧邻装备制造产业园的区位优势，针对园区新增负荷开发建设全额自发自用分散式风电项目。</w:t>
      </w:r>
    </w:p>
    <w:p w14:paraId="509FFF4F" w14:textId="77777777" w:rsidR="00A739F2" w:rsidRDefault="00597D48">
      <w:r>
        <w:rPr>
          <w:rFonts w:hint="eastAsia"/>
        </w:rPr>
        <w:t>康巴什区分散式风</w:t>
      </w:r>
      <w:proofErr w:type="gramStart"/>
      <w:r>
        <w:rPr>
          <w:rFonts w:hint="eastAsia"/>
        </w:rPr>
        <w:t>电项目</w:t>
      </w:r>
      <w:proofErr w:type="gramEnd"/>
      <w:r>
        <w:rPr>
          <w:rFonts w:hint="eastAsia"/>
        </w:rPr>
        <w:t>位于哈巴格希社区北部，</w:t>
      </w:r>
      <w:r>
        <w:rPr>
          <w:rFonts w:hint="eastAsia"/>
        </w:rPr>
        <w:t>场区位</w:t>
      </w:r>
      <w:proofErr w:type="gramStart"/>
      <w:r>
        <w:rPr>
          <w:rFonts w:hint="eastAsia"/>
        </w:rPr>
        <w:t>于东康西线</w:t>
      </w:r>
      <w:proofErr w:type="gramEnd"/>
      <w:r>
        <w:rPr>
          <w:rFonts w:hint="eastAsia"/>
        </w:rPr>
        <w:t>以西，交通便利，场址内海拔在</w:t>
      </w:r>
      <w:r>
        <w:rPr>
          <w:rFonts w:hint="eastAsia"/>
        </w:rPr>
        <w:t>1350</w:t>
      </w:r>
      <w:r>
        <w:rPr>
          <w:rFonts w:hint="eastAsia"/>
        </w:rPr>
        <w:t>～</w:t>
      </w:r>
      <w:r>
        <w:rPr>
          <w:rFonts w:hint="eastAsia"/>
        </w:rPr>
        <w:t>1</w:t>
      </w:r>
      <w:r>
        <w:t>45</w:t>
      </w:r>
      <w:r>
        <w:rPr>
          <w:rFonts w:hint="eastAsia"/>
        </w:rPr>
        <w:t>0m</w:t>
      </w:r>
      <w:r>
        <w:rPr>
          <w:rFonts w:hint="eastAsia"/>
        </w:rPr>
        <w:t>之间，</w:t>
      </w:r>
      <w:proofErr w:type="gramStart"/>
      <w:r>
        <w:rPr>
          <w:rFonts w:hint="eastAsia"/>
        </w:rPr>
        <w:t>场址区</w:t>
      </w:r>
      <w:proofErr w:type="gramEnd"/>
      <w:r>
        <w:rPr>
          <w:rFonts w:hint="eastAsia"/>
        </w:rPr>
        <w:t>东部起伏较大，西部较为平缓，适宜开发分散式风电场项目。场内以草地为主，建设条件较好，项目场址内</w:t>
      </w:r>
      <w:r>
        <w:rPr>
          <w:rFonts w:hint="eastAsia"/>
        </w:rPr>
        <w:t>120m</w:t>
      </w:r>
      <w:r>
        <w:rPr>
          <w:rFonts w:hint="eastAsia"/>
        </w:rPr>
        <w:t>高度风速在</w:t>
      </w:r>
      <w:r>
        <w:rPr>
          <w:rFonts w:hint="eastAsia"/>
        </w:rPr>
        <w:t>6.</w:t>
      </w:r>
      <w:r>
        <w:t>3</w:t>
      </w:r>
      <w:r>
        <w:rPr>
          <w:rFonts w:hint="eastAsia"/>
        </w:rPr>
        <w:t>0</w:t>
      </w:r>
      <w:r>
        <w:rPr>
          <w:rFonts w:hint="eastAsia"/>
        </w:rPr>
        <w:t>～</w:t>
      </w:r>
      <w:r>
        <w:t>7</w:t>
      </w:r>
      <w:r>
        <w:rPr>
          <w:rFonts w:hint="eastAsia"/>
        </w:rPr>
        <w:t>.</w:t>
      </w:r>
      <w:r>
        <w:t>20</w:t>
      </w:r>
      <w:r>
        <w:rPr>
          <w:rFonts w:hint="eastAsia"/>
        </w:rPr>
        <w:t>m/s</w:t>
      </w:r>
      <w:r>
        <w:rPr>
          <w:rFonts w:hint="eastAsia"/>
        </w:rPr>
        <w:t>之间，风能资源较好，场址规划面积</w:t>
      </w:r>
      <w:r>
        <w:rPr>
          <w:rFonts w:hint="eastAsia"/>
        </w:rPr>
        <w:t>7.5km</w:t>
      </w:r>
      <w:r>
        <w:rPr>
          <w:rFonts w:hint="eastAsia"/>
          <w:vertAlign w:val="superscript"/>
        </w:rPr>
        <w:t>2</w:t>
      </w:r>
      <w:r>
        <w:rPr>
          <w:rFonts w:hint="eastAsia"/>
        </w:rPr>
        <w:t>，规划分散式风电</w:t>
      </w:r>
      <w:r>
        <w:rPr>
          <w:rFonts w:hint="eastAsia"/>
        </w:rPr>
        <w:t>3</w:t>
      </w:r>
      <w:r>
        <w:rPr>
          <w:rFonts w:hint="eastAsia"/>
        </w:rPr>
        <w:t>万千瓦，利用小时数为</w:t>
      </w:r>
      <w:r>
        <w:rPr>
          <w:rFonts w:hint="eastAsia"/>
        </w:rPr>
        <w:t>2</w:t>
      </w:r>
      <w:r>
        <w:t>5</w:t>
      </w:r>
      <w:r>
        <w:rPr>
          <w:rFonts w:hint="eastAsia"/>
        </w:rPr>
        <w:t>00h</w:t>
      </w:r>
      <w:r>
        <w:rPr>
          <w:rFonts w:hint="eastAsia"/>
        </w:rPr>
        <w:t>。</w:t>
      </w:r>
    </w:p>
    <w:p w14:paraId="2512575D" w14:textId="77777777" w:rsidR="00A739F2" w:rsidRDefault="00597D48">
      <w:pPr>
        <w:ind w:firstLineChars="0" w:firstLine="0"/>
      </w:pPr>
      <w:r>
        <w:rPr>
          <w:noProof/>
        </w:rPr>
        <w:lastRenderedPageBreak/>
        <w:drawing>
          <wp:inline distT="0" distB="0" distL="114300" distR="114300" wp14:anchorId="09FBEE2C" wp14:editId="20ECD000">
            <wp:extent cx="5262880" cy="3518535"/>
            <wp:effectExtent l="0" t="0" r="13970" b="5715"/>
            <wp:docPr id="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pic:cNvPicPr>
                      <a:picLocks noChangeAspect="1"/>
                    </pic:cNvPicPr>
                  </pic:nvPicPr>
                  <pic:blipFill>
                    <a:blip r:embed="rId44"/>
                    <a:stretch>
                      <a:fillRect/>
                    </a:stretch>
                  </pic:blipFill>
                  <pic:spPr>
                    <a:xfrm>
                      <a:off x="0" y="0"/>
                      <a:ext cx="5262880" cy="3518535"/>
                    </a:xfrm>
                    <a:prstGeom prst="rect">
                      <a:avLst/>
                    </a:prstGeom>
                    <a:noFill/>
                    <a:ln>
                      <a:noFill/>
                    </a:ln>
                  </pic:spPr>
                </pic:pic>
              </a:graphicData>
            </a:graphic>
          </wp:inline>
        </w:drawing>
      </w:r>
    </w:p>
    <w:p w14:paraId="4BAE4035"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6.3-1 </w:t>
      </w:r>
      <w:r>
        <w:rPr>
          <w:rFonts w:cs="Times New Roman" w:hint="eastAsia"/>
          <w:b/>
          <w:sz w:val="24"/>
        </w:rPr>
        <w:t>康巴什区分散式风</w:t>
      </w:r>
      <w:proofErr w:type="gramStart"/>
      <w:r>
        <w:rPr>
          <w:rFonts w:cs="Times New Roman" w:hint="eastAsia"/>
          <w:b/>
          <w:sz w:val="24"/>
        </w:rPr>
        <w:t>电项目</w:t>
      </w:r>
      <w:proofErr w:type="gramEnd"/>
      <w:r>
        <w:rPr>
          <w:rFonts w:cs="Times New Roman" w:hint="eastAsia"/>
          <w:b/>
          <w:sz w:val="24"/>
        </w:rPr>
        <w:t>场址位置示意图</w:t>
      </w:r>
    </w:p>
    <w:p w14:paraId="76E21EA5" w14:textId="77777777" w:rsidR="00A739F2" w:rsidRDefault="00597D48">
      <w:pPr>
        <w:pStyle w:val="af6"/>
        <w:rPr>
          <w:rFonts w:ascii="Times New Roman" w:hAnsi="Times New Roman"/>
        </w:rPr>
      </w:pPr>
      <w:bookmarkStart w:id="233" w:name="_Toc10615"/>
      <w:bookmarkStart w:id="234" w:name="_Toc9311"/>
      <w:bookmarkStart w:id="235" w:name="_Toc28652"/>
      <w:bookmarkStart w:id="236" w:name="_Toc13358"/>
      <w:bookmarkStart w:id="237" w:name="_Toc20658"/>
      <w:bookmarkStart w:id="238" w:name="_Toc31422"/>
      <w:bookmarkStart w:id="239" w:name="_Toc21474"/>
      <w:r>
        <w:rPr>
          <w:rFonts w:ascii="Times New Roman" w:hAnsi="Times New Roman" w:hint="eastAsia"/>
        </w:rPr>
        <w:t>（四）建设新能源</w:t>
      </w:r>
      <w:proofErr w:type="gramStart"/>
      <w:r>
        <w:rPr>
          <w:rFonts w:ascii="Times New Roman" w:hAnsi="Times New Roman" w:hint="eastAsia"/>
        </w:rPr>
        <w:t>主题零碳景观</w:t>
      </w:r>
      <w:proofErr w:type="gramEnd"/>
      <w:r>
        <w:rPr>
          <w:rFonts w:ascii="Times New Roman" w:hAnsi="Times New Roman" w:hint="eastAsia"/>
        </w:rPr>
        <w:t>公园</w:t>
      </w:r>
      <w:bookmarkEnd w:id="233"/>
      <w:bookmarkEnd w:id="234"/>
      <w:bookmarkEnd w:id="235"/>
      <w:bookmarkEnd w:id="236"/>
      <w:bookmarkEnd w:id="237"/>
      <w:bookmarkEnd w:id="238"/>
      <w:bookmarkEnd w:id="239"/>
    </w:p>
    <w:p w14:paraId="5BBEA7A3" w14:textId="77777777" w:rsidR="00A739F2" w:rsidRDefault="00597D48">
      <w:pPr>
        <w:rPr>
          <w:rFonts w:cs="微软雅黑"/>
          <w:szCs w:val="32"/>
        </w:rPr>
      </w:pPr>
      <w:r>
        <w:rPr>
          <w:rFonts w:cs="微软雅黑" w:hint="eastAsia"/>
          <w:szCs w:val="32"/>
        </w:rPr>
        <w:t>将传统园林景观与新能源相结合，在康巴什区规划建设新能源</w:t>
      </w:r>
      <w:proofErr w:type="gramStart"/>
      <w:r>
        <w:rPr>
          <w:rFonts w:cs="微软雅黑" w:hint="eastAsia"/>
          <w:szCs w:val="32"/>
        </w:rPr>
        <w:t>主题零碳景观</w:t>
      </w:r>
      <w:proofErr w:type="gramEnd"/>
      <w:r>
        <w:rPr>
          <w:rFonts w:cs="微软雅黑" w:hint="eastAsia"/>
          <w:szCs w:val="32"/>
        </w:rPr>
        <w:t>公园，结合新能源技术和环保理念，为康巴什区居民创建一个低碳、绿色、可持续的公共休闲空间，同时推广低碳、</w:t>
      </w:r>
      <w:proofErr w:type="gramStart"/>
      <w:r>
        <w:rPr>
          <w:rFonts w:cs="微软雅黑" w:hint="eastAsia"/>
          <w:szCs w:val="32"/>
        </w:rPr>
        <w:t>零碳生活</w:t>
      </w:r>
      <w:proofErr w:type="gramEnd"/>
      <w:r>
        <w:rPr>
          <w:rFonts w:cs="微软雅黑" w:hint="eastAsia"/>
          <w:szCs w:val="32"/>
        </w:rPr>
        <w:t>模式，科普新能源知识。</w:t>
      </w:r>
    </w:p>
    <w:p w14:paraId="3C31F042" w14:textId="77777777" w:rsidR="00A739F2" w:rsidRDefault="00597D48">
      <w:pPr>
        <w:rPr>
          <w:rFonts w:cs="微软雅黑"/>
          <w:szCs w:val="32"/>
        </w:rPr>
      </w:pPr>
      <w:r>
        <w:rPr>
          <w:rFonts w:cs="微软雅黑" w:hint="eastAsia"/>
          <w:szCs w:val="32"/>
        </w:rPr>
        <w:t>在公园的建筑物、景观构筑物（如户外雨棚、景观路灯等）上安装太阳能光伏板，收集并转换太阳能为电能，用于公园内的照明、充电等服务。此外，太阳能还可以为游乐设施提供能源支持。在公园设置太阳能光伏遮阳伞、太阳能花、树型设计的垂直轴风机等新能源新型发电设备，通过一整套完整的发电</w:t>
      </w:r>
      <w:r>
        <w:rPr>
          <w:rFonts w:cs="微软雅黑" w:hint="eastAsia"/>
          <w:szCs w:val="32"/>
        </w:rPr>
        <w:lastRenderedPageBreak/>
        <w:t>系统，实现供电自给自足。设置光伏</w:t>
      </w:r>
      <w:r>
        <w:rPr>
          <w:rFonts w:cs="微软雅黑" w:hint="eastAsia"/>
          <w:szCs w:val="32"/>
        </w:rPr>
        <w:t>+</w:t>
      </w:r>
      <w:r>
        <w:rPr>
          <w:rFonts w:cs="微软雅黑" w:hint="eastAsia"/>
          <w:szCs w:val="32"/>
        </w:rPr>
        <w:t>生态循环区</w:t>
      </w:r>
      <w:r>
        <w:rPr>
          <w:rFonts w:cs="微软雅黑" w:hint="eastAsia"/>
          <w:szCs w:val="32"/>
        </w:rPr>
        <w:t>域，结合康巴什区沙地区域，建设典型光</w:t>
      </w:r>
      <w:proofErr w:type="gramStart"/>
      <w:r>
        <w:rPr>
          <w:rFonts w:cs="微软雅黑" w:hint="eastAsia"/>
          <w:szCs w:val="32"/>
        </w:rPr>
        <w:t>伏治理演示</w:t>
      </w:r>
      <w:proofErr w:type="gramEnd"/>
      <w:r>
        <w:rPr>
          <w:rFonts w:cs="微软雅黑" w:hint="eastAsia"/>
          <w:szCs w:val="32"/>
        </w:rPr>
        <w:t>区，集成发电、集水、滴灌、种植于一体的生态循环结构，达成</w:t>
      </w:r>
      <w:proofErr w:type="gramStart"/>
      <w:r>
        <w:rPr>
          <w:rFonts w:cs="微软雅黑" w:hint="eastAsia"/>
          <w:szCs w:val="32"/>
        </w:rPr>
        <w:t>光伏对沙漠</w:t>
      </w:r>
      <w:proofErr w:type="gramEnd"/>
      <w:r>
        <w:rPr>
          <w:rFonts w:cs="微软雅黑" w:hint="eastAsia"/>
          <w:szCs w:val="32"/>
        </w:rPr>
        <w:t>治理的科普、示范及推广的作用，打造康巴什区生态旅游新亮点。</w:t>
      </w:r>
    </w:p>
    <w:p w14:paraId="62DAD7DC" w14:textId="77777777" w:rsidR="00A739F2" w:rsidRDefault="00597D48">
      <w:pPr>
        <w:pStyle w:val="af4"/>
      </w:pPr>
      <w:r>
        <w:rPr>
          <w:noProof/>
        </w:rPr>
        <w:drawing>
          <wp:inline distT="0" distB="0" distL="0" distR="0" wp14:anchorId="37F44473" wp14:editId="30F2CF50">
            <wp:extent cx="2519680" cy="1740535"/>
            <wp:effectExtent l="0" t="0" r="1397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5"/>
                    <a:stretch>
                      <a:fillRect/>
                    </a:stretch>
                  </pic:blipFill>
                  <pic:spPr>
                    <a:xfrm>
                      <a:off x="0" y="0"/>
                      <a:ext cx="2520000" cy="1740535"/>
                    </a:xfrm>
                    <a:prstGeom prst="rect">
                      <a:avLst/>
                    </a:prstGeom>
                  </pic:spPr>
                </pic:pic>
              </a:graphicData>
            </a:graphic>
          </wp:inline>
        </w:drawing>
      </w:r>
      <w:r>
        <w:rPr>
          <w:noProof/>
        </w:rPr>
        <w:drawing>
          <wp:inline distT="0" distB="0" distL="0" distR="0" wp14:anchorId="6E07FA3D" wp14:editId="4317EF9E">
            <wp:extent cx="2519680" cy="1751330"/>
            <wp:effectExtent l="0" t="0" r="13970"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46"/>
                    <a:stretch>
                      <a:fillRect/>
                    </a:stretch>
                  </pic:blipFill>
                  <pic:spPr>
                    <a:xfrm>
                      <a:off x="0" y="0"/>
                      <a:ext cx="2520000" cy="1751330"/>
                    </a:xfrm>
                    <a:prstGeom prst="rect">
                      <a:avLst/>
                    </a:prstGeom>
                  </pic:spPr>
                </pic:pic>
              </a:graphicData>
            </a:graphic>
          </wp:inline>
        </w:drawing>
      </w:r>
    </w:p>
    <w:p w14:paraId="0098027F"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6.4-1 </w:t>
      </w:r>
      <w:r>
        <w:rPr>
          <w:rFonts w:cs="Times New Roman" w:hint="eastAsia"/>
          <w:b/>
          <w:sz w:val="24"/>
        </w:rPr>
        <w:t>新能源景观公园示意图</w:t>
      </w:r>
    </w:p>
    <w:p w14:paraId="62A46101" w14:textId="77777777" w:rsidR="00A739F2" w:rsidRDefault="00597D48">
      <w:pPr>
        <w:widowControl/>
        <w:kinsoku w:val="0"/>
        <w:autoSpaceDE w:val="0"/>
        <w:autoSpaceDN w:val="0"/>
        <w:adjustRightInd w:val="0"/>
        <w:spacing w:before="97" w:line="221" w:lineRule="auto"/>
        <w:ind w:left="601" w:firstLineChars="0" w:firstLine="0"/>
        <w:jc w:val="left"/>
        <w:textAlignment w:val="baseline"/>
        <w:outlineLvl w:val="0"/>
        <w:rPr>
          <w:rFonts w:eastAsia="黑体" w:cs="黑体"/>
          <w:snapToGrid w:val="0"/>
          <w:color w:val="000000"/>
          <w:spacing w:val="-2"/>
          <w:kern w:val="0"/>
          <w:szCs w:val="32"/>
        </w:rPr>
      </w:pPr>
      <w:bookmarkStart w:id="240" w:name="_Toc9379"/>
      <w:bookmarkStart w:id="241" w:name="_Toc12912"/>
      <w:bookmarkStart w:id="242" w:name="_Toc8742"/>
      <w:bookmarkStart w:id="243" w:name="_Toc26597"/>
      <w:bookmarkStart w:id="244" w:name="_Toc9571"/>
      <w:bookmarkStart w:id="245" w:name="_Toc9742"/>
      <w:bookmarkStart w:id="246" w:name="_Toc7032"/>
      <w:bookmarkStart w:id="247" w:name="_Toc432"/>
      <w:bookmarkStart w:id="248" w:name="_Toc13263"/>
      <w:bookmarkStart w:id="249" w:name="_Toc24180"/>
      <w:bookmarkStart w:id="250" w:name="_Toc16908"/>
      <w:bookmarkStart w:id="251" w:name="_Toc5320"/>
      <w:bookmarkStart w:id="252" w:name="_Toc25341"/>
      <w:r>
        <w:rPr>
          <w:rFonts w:eastAsia="黑体" w:cs="黑体" w:hint="eastAsia"/>
          <w:snapToGrid w:val="0"/>
          <w:color w:val="000000"/>
          <w:spacing w:val="-2"/>
          <w:kern w:val="0"/>
          <w:szCs w:val="32"/>
        </w:rPr>
        <w:t>七、积极推动地热能规模化开发</w:t>
      </w:r>
      <w:bookmarkEnd w:id="240"/>
      <w:bookmarkEnd w:id="241"/>
      <w:bookmarkEnd w:id="242"/>
      <w:bookmarkEnd w:id="243"/>
      <w:bookmarkEnd w:id="244"/>
      <w:bookmarkEnd w:id="245"/>
      <w:bookmarkEnd w:id="246"/>
    </w:p>
    <w:p w14:paraId="572A5D46" w14:textId="77777777" w:rsidR="00A739F2" w:rsidRDefault="00597D48">
      <w:pPr>
        <w:pStyle w:val="af6"/>
        <w:rPr>
          <w:rFonts w:ascii="Times New Roman" w:hAnsi="Times New Roman"/>
        </w:rPr>
      </w:pPr>
      <w:bookmarkStart w:id="253" w:name="_Toc17983"/>
      <w:bookmarkStart w:id="254" w:name="_Toc4052"/>
      <w:r>
        <w:rPr>
          <w:rFonts w:ascii="Times New Roman" w:hAnsi="Times New Roman"/>
        </w:rPr>
        <w:t>（</w:t>
      </w:r>
      <w:r>
        <w:rPr>
          <w:rFonts w:ascii="Times New Roman" w:hAnsi="Times New Roman" w:hint="eastAsia"/>
        </w:rPr>
        <w:t>一</w:t>
      </w:r>
      <w:r>
        <w:rPr>
          <w:rFonts w:ascii="Times New Roman" w:hAnsi="Times New Roman"/>
        </w:rPr>
        <w:t>）</w:t>
      </w:r>
      <w:bookmarkEnd w:id="253"/>
      <w:r>
        <w:rPr>
          <w:rFonts w:ascii="Times New Roman" w:hAnsi="Times New Roman" w:hint="eastAsia"/>
        </w:rPr>
        <w:t>开展地热资源勘查</w:t>
      </w:r>
      <w:bookmarkEnd w:id="254"/>
    </w:p>
    <w:p w14:paraId="0F4919AE" w14:textId="77777777" w:rsidR="00A739F2" w:rsidRDefault="00597D48">
      <w:pPr>
        <w:tabs>
          <w:tab w:val="center" w:pos="4535"/>
        </w:tabs>
      </w:pPr>
      <w:r>
        <w:rPr>
          <w:rFonts w:hint="eastAsia"/>
        </w:rPr>
        <w:t>康巴什区供热面积约为</w:t>
      </w:r>
      <w:r>
        <w:rPr>
          <w:rFonts w:hint="eastAsia"/>
        </w:rPr>
        <w:t>1300</w:t>
      </w:r>
      <w:r>
        <w:rPr>
          <w:rFonts w:hint="eastAsia"/>
        </w:rPr>
        <w:t>万平方米，冬季供暖期长达六个月，目前主要供热热源为</w:t>
      </w:r>
      <w:proofErr w:type="gramStart"/>
      <w:r>
        <w:rPr>
          <w:rFonts w:hint="eastAsia"/>
        </w:rPr>
        <w:t>京能康</w:t>
      </w:r>
      <w:proofErr w:type="gramEnd"/>
      <w:r>
        <w:rPr>
          <w:rFonts w:hint="eastAsia"/>
        </w:rPr>
        <w:t>巴什热电厂。康巴什区所处的鄂尔多斯盆地是以中低温地热资源为主的稳定克拉通盆地，地温随深度增加而增加，属于热传导型地热资源。鄂尔多斯盆地地热资源具有储集条件较好、储层较多、厚度较大、分布范围广的特点，总体上盆地地热资源开发潜力较大。</w:t>
      </w:r>
    </w:p>
    <w:p w14:paraId="026AD41F" w14:textId="77777777" w:rsidR="00A739F2" w:rsidRDefault="00597D48">
      <w:pPr>
        <w:tabs>
          <w:tab w:val="center" w:pos="4535"/>
        </w:tabs>
      </w:pPr>
      <w:r>
        <w:rPr>
          <w:rFonts w:hint="eastAsia"/>
        </w:rPr>
        <w:t>目前康巴什区尚未对地热资源开展过系统性的勘查，仅有少量地质勘察资料可供参考评估。为推动地热资源规模化、商</w:t>
      </w:r>
      <w:r>
        <w:rPr>
          <w:rFonts w:hint="eastAsia"/>
        </w:rPr>
        <w:lastRenderedPageBreak/>
        <w:t>业化利用，将适时开展全区地热资源勘查，全面分析区域地热能资源禀赋及分布情况，结合当地实际情况</w:t>
      </w:r>
      <w:r>
        <w:rPr>
          <w:rFonts w:hint="eastAsia"/>
        </w:rPr>
        <w:t>研究浅层地热及中深层地热能开发利用方式</w:t>
      </w:r>
      <w:bookmarkStart w:id="255" w:name="_Toc113302980"/>
      <w:bookmarkStart w:id="256" w:name="_Toc113482701"/>
      <w:bookmarkStart w:id="257" w:name="_Toc113482675"/>
      <w:bookmarkStart w:id="258" w:name="_Toc113482688"/>
      <w:bookmarkStart w:id="259" w:name="_Toc113482700"/>
      <w:bookmarkStart w:id="260" w:name="_Toc113482674"/>
      <w:bookmarkStart w:id="261" w:name="_Toc113482689"/>
      <w:bookmarkStart w:id="262" w:name="_Toc113291013"/>
      <w:bookmarkStart w:id="263" w:name="_Toc113482687"/>
      <w:bookmarkStart w:id="264" w:name="_Toc113482673"/>
      <w:bookmarkStart w:id="265" w:name="_Toc113482672"/>
      <w:bookmarkStart w:id="266" w:name="_Toc113302979"/>
      <w:bookmarkStart w:id="267" w:name="_Toc113482702"/>
      <w:bookmarkStart w:id="268" w:name="_Toc113482690"/>
      <w:bookmarkStart w:id="269" w:name="_Toc113291012"/>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rFonts w:hint="eastAsia"/>
        </w:rPr>
        <w:t>。</w:t>
      </w:r>
    </w:p>
    <w:p w14:paraId="57586DAC" w14:textId="77777777" w:rsidR="00A739F2" w:rsidRDefault="00597D48">
      <w:pPr>
        <w:pStyle w:val="af6"/>
        <w:numPr>
          <w:ilvl w:val="0"/>
          <w:numId w:val="2"/>
        </w:numPr>
        <w:rPr>
          <w:rFonts w:ascii="Times New Roman" w:hAnsi="Times New Roman"/>
        </w:rPr>
      </w:pPr>
      <w:bookmarkStart w:id="270" w:name="_Toc13519"/>
      <w:r>
        <w:rPr>
          <w:rFonts w:ascii="Times New Roman" w:hAnsi="Times New Roman" w:hint="eastAsia"/>
        </w:rPr>
        <w:t>因地制宜开发浅层地热</w:t>
      </w:r>
      <w:bookmarkEnd w:id="270"/>
    </w:p>
    <w:p w14:paraId="7674331B" w14:textId="77777777" w:rsidR="00A739F2" w:rsidRDefault="00597D48">
      <w:pPr>
        <w:pStyle w:val="20"/>
        <w:ind w:firstLine="640"/>
        <w:rPr>
          <w:rFonts w:eastAsia="仿宋"/>
          <w:kern w:val="2"/>
          <w:sz w:val="32"/>
          <w:szCs w:val="22"/>
        </w:rPr>
      </w:pPr>
      <w:r>
        <w:rPr>
          <w:rFonts w:eastAsia="仿宋" w:hint="eastAsia"/>
          <w:kern w:val="2"/>
          <w:sz w:val="32"/>
          <w:szCs w:val="22"/>
        </w:rPr>
        <w:t>充分发挥浅层地热能适用范围广、技术成熟的优势，在政府机关、学校、医院、社区等有供暖和制冷需求的场所，鼓励利用浅层地热能供暖、制冷。对既有供冷供热建筑进行能源绿色、低碳升级改造，以浅层地热能替代传统高碳排燃气能源。</w:t>
      </w:r>
    </w:p>
    <w:p w14:paraId="62D9788F" w14:textId="77777777" w:rsidR="00A739F2" w:rsidRDefault="00597D48">
      <w:pPr>
        <w:tabs>
          <w:tab w:val="center" w:pos="4535"/>
        </w:tabs>
        <w:rPr>
          <w:rFonts w:eastAsia="仿宋"/>
        </w:rPr>
      </w:pPr>
      <w:r>
        <w:rPr>
          <w:rFonts w:eastAsia="仿宋" w:hint="eastAsia"/>
        </w:rPr>
        <w:t>探索“</w:t>
      </w:r>
      <w:r>
        <w:rPr>
          <w:rFonts w:hint="eastAsia"/>
        </w:rPr>
        <w:t>热泵</w:t>
      </w:r>
      <w:r>
        <w:rPr>
          <w:rFonts w:eastAsia="仿宋" w:hint="eastAsia"/>
        </w:rPr>
        <w:t>+</w:t>
      </w:r>
      <w:r>
        <w:rPr>
          <w:rFonts w:hint="eastAsia"/>
        </w:rPr>
        <w:t>绿电</w:t>
      </w:r>
      <w:r>
        <w:rPr>
          <w:rFonts w:hint="eastAsia"/>
        </w:rPr>
        <w:t>+</w:t>
      </w:r>
      <w:r>
        <w:rPr>
          <w:rFonts w:eastAsia="仿宋" w:hint="eastAsia"/>
        </w:rPr>
        <w:t>储能”</w:t>
      </w:r>
      <w:r>
        <w:rPr>
          <w:rFonts w:hint="eastAsia"/>
        </w:rPr>
        <w:t>清洁供暖</w:t>
      </w:r>
      <w:r>
        <w:rPr>
          <w:rFonts w:eastAsia="仿宋" w:hint="eastAsia"/>
        </w:rPr>
        <w:t>模式，建立</w:t>
      </w:r>
      <w:r>
        <w:rPr>
          <w:rFonts w:hint="eastAsia"/>
        </w:rPr>
        <w:t>多种</w:t>
      </w:r>
      <w:r>
        <w:rPr>
          <w:rFonts w:eastAsia="仿宋" w:hint="eastAsia"/>
        </w:rPr>
        <w:t>能源</w:t>
      </w:r>
      <w:r>
        <w:rPr>
          <w:rFonts w:hint="eastAsia"/>
        </w:rPr>
        <w:t>间</w:t>
      </w:r>
      <w:r>
        <w:rPr>
          <w:rFonts w:eastAsia="仿宋" w:hint="eastAsia"/>
        </w:rPr>
        <w:t>的</w:t>
      </w:r>
      <w:r>
        <w:rPr>
          <w:rFonts w:hint="eastAsia"/>
        </w:rPr>
        <w:t>耦合</w:t>
      </w:r>
      <w:r>
        <w:rPr>
          <w:rFonts w:eastAsia="仿宋" w:hint="eastAsia"/>
        </w:rPr>
        <w:t>联动，利用太阳能</w:t>
      </w:r>
      <w:r>
        <w:rPr>
          <w:rFonts w:hint="eastAsia"/>
        </w:rPr>
        <w:t>、空气能、城市中水、绿色电力等</w:t>
      </w:r>
      <w:r>
        <w:rPr>
          <w:rFonts w:eastAsia="仿宋" w:hint="eastAsia"/>
        </w:rPr>
        <w:t>作为补充</w:t>
      </w:r>
      <w:r>
        <w:rPr>
          <w:rFonts w:hint="eastAsia"/>
        </w:rPr>
        <w:t>热</w:t>
      </w:r>
      <w:r>
        <w:rPr>
          <w:rFonts w:eastAsia="仿宋" w:hint="eastAsia"/>
        </w:rPr>
        <w:t>源</w:t>
      </w:r>
      <w:r>
        <w:rPr>
          <w:rFonts w:hint="eastAsia"/>
        </w:rPr>
        <w:t>，探索利用地下土壤、地下含水层、大型储热装置等建设</w:t>
      </w:r>
      <w:r>
        <w:rPr>
          <w:rFonts w:eastAsia="仿宋" w:hint="eastAsia"/>
        </w:rPr>
        <w:t>跨季节蓄热系统，平衡浅层地热能季节性利用不均衡问题。</w:t>
      </w:r>
    </w:p>
    <w:p w14:paraId="4BF2F990" w14:textId="77777777" w:rsidR="00A739F2" w:rsidRDefault="00597D48">
      <w:pPr>
        <w:pStyle w:val="af6"/>
        <w:keepNext/>
        <w:numPr>
          <w:ilvl w:val="0"/>
          <w:numId w:val="2"/>
        </w:numPr>
        <w:rPr>
          <w:rFonts w:ascii="Times New Roman" w:hAnsi="Times New Roman"/>
        </w:rPr>
      </w:pPr>
      <w:bookmarkStart w:id="271" w:name="_Toc23590"/>
      <w:r>
        <w:rPr>
          <w:rFonts w:ascii="Times New Roman" w:hAnsi="Times New Roman" w:hint="eastAsia"/>
        </w:rPr>
        <w:t>推进中深层地热</w:t>
      </w:r>
      <w:r>
        <w:rPr>
          <w:rFonts w:ascii="Times New Roman" w:hAnsi="Times New Roman" w:hint="eastAsia"/>
        </w:rPr>
        <w:t>能开发利用</w:t>
      </w:r>
      <w:bookmarkEnd w:id="271"/>
    </w:p>
    <w:p w14:paraId="435CED91" w14:textId="77777777" w:rsidR="00A739F2" w:rsidRDefault="00597D48">
      <w:pPr>
        <w:tabs>
          <w:tab w:val="center" w:pos="4535"/>
        </w:tabs>
      </w:pPr>
      <w:r>
        <w:rPr>
          <w:rFonts w:hint="eastAsia"/>
        </w:rPr>
        <w:t>鼓励中深层地热供暖与市政供暖相结合。在做好资源评估、严格保护地下水基础上，建设“同层等量回灌、取热不耗水”示范工程，坚持环保、安全的开采地热资源。通过建设示范项目，</w:t>
      </w:r>
      <w:proofErr w:type="gramStart"/>
      <w:r>
        <w:rPr>
          <w:rFonts w:hint="eastAsia"/>
        </w:rPr>
        <w:t>在热井钻探</w:t>
      </w:r>
      <w:proofErr w:type="gramEnd"/>
      <w:r>
        <w:rPr>
          <w:rFonts w:hint="eastAsia"/>
        </w:rPr>
        <w:t>、地下水提取、热能转换及智能化监控等方面，形成可复制、可推广的技术模式，以点带面促进推广应用。</w:t>
      </w:r>
    </w:p>
    <w:p w14:paraId="5F12AEDD" w14:textId="77777777" w:rsidR="00A739F2" w:rsidRDefault="00597D48">
      <w:pPr>
        <w:tabs>
          <w:tab w:val="center" w:pos="4535"/>
        </w:tabs>
      </w:pPr>
      <w:r>
        <w:rPr>
          <w:rFonts w:hint="eastAsia"/>
        </w:rPr>
        <w:t>重点选取较为偏远、供热能力紧张、供热机组需限期关停</w:t>
      </w:r>
      <w:r>
        <w:rPr>
          <w:rFonts w:hint="eastAsia"/>
        </w:rPr>
        <w:lastRenderedPageBreak/>
        <w:t>的区域，在新建社区、酒店等因地制宜设置能源站，利用打井取地下水进行换热。地下热水温度在</w:t>
      </w:r>
      <w:r>
        <w:rPr>
          <w:rFonts w:hint="eastAsia"/>
        </w:rPr>
        <w:t>40</w:t>
      </w:r>
      <w:r>
        <w:rPr>
          <w:rFonts w:hint="eastAsia"/>
        </w:rPr>
        <w:t>℃左右，可直接进入小区地</w:t>
      </w:r>
      <w:proofErr w:type="gramStart"/>
      <w:r>
        <w:rPr>
          <w:rFonts w:hint="eastAsia"/>
        </w:rPr>
        <w:t>暖系统</w:t>
      </w:r>
      <w:proofErr w:type="gramEnd"/>
      <w:r>
        <w:rPr>
          <w:rFonts w:hint="eastAsia"/>
        </w:rPr>
        <w:t>或经热泵提温后进入小区采暖系统。以成井工艺、井下高效换热等关</w:t>
      </w:r>
      <w:r>
        <w:rPr>
          <w:rFonts w:hint="eastAsia"/>
        </w:rPr>
        <w:t>键技术创新和成果转化为基础，加快地热能商业化开发利用进程。</w:t>
      </w:r>
    </w:p>
    <w:p w14:paraId="6ACB304B" w14:textId="77777777" w:rsidR="00A739F2" w:rsidRDefault="00597D48">
      <w:pPr>
        <w:pStyle w:val="af6"/>
        <w:numPr>
          <w:ilvl w:val="0"/>
          <w:numId w:val="2"/>
        </w:numPr>
        <w:rPr>
          <w:rFonts w:ascii="Times New Roman" w:hAnsi="Times New Roman"/>
        </w:rPr>
      </w:pPr>
      <w:bookmarkStart w:id="272" w:name="_Toc11195"/>
      <w:r>
        <w:rPr>
          <w:rFonts w:ascii="Times New Roman" w:hAnsi="Times New Roman" w:hint="eastAsia"/>
        </w:rPr>
        <w:t>做好与相关规划的衔接</w:t>
      </w:r>
      <w:bookmarkEnd w:id="272"/>
    </w:p>
    <w:p w14:paraId="1008AF8D" w14:textId="77777777" w:rsidR="00A739F2" w:rsidRDefault="00597D48">
      <w:pPr>
        <w:tabs>
          <w:tab w:val="center" w:pos="4535"/>
        </w:tabs>
      </w:pPr>
      <w:r>
        <w:rPr>
          <w:rFonts w:hint="eastAsia"/>
        </w:rPr>
        <w:t>统筹做好地热供暖与国土空间规划、城市规划等相关规划的衔接，提高热力管网对可再生能源应用的兼容性，推动地热能集中供暖纳入城市供热管网，分类推进地热能开发利用，逐步替代燃煤供暖，力争到</w:t>
      </w:r>
      <w:r>
        <w:rPr>
          <w:rFonts w:hint="eastAsia"/>
        </w:rPr>
        <w:t>2027</w:t>
      </w:r>
      <w:r>
        <w:rPr>
          <w:rFonts w:hint="eastAsia"/>
        </w:rPr>
        <w:t>年实现可再生能源非</w:t>
      </w:r>
      <w:proofErr w:type="gramStart"/>
      <w:r>
        <w:rPr>
          <w:rFonts w:hint="eastAsia"/>
        </w:rPr>
        <w:t>电利用</w:t>
      </w:r>
      <w:proofErr w:type="gramEnd"/>
      <w:r>
        <w:rPr>
          <w:rFonts w:hint="eastAsia"/>
        </w:rPr>
        <w:t>达到</w:t>
      </w:r>
      <w:r>
        <w:rPr>
          <w:rFonts w:hint="eastAsia"/>
        </w:rPr>
        <w:t>3</w:t>
      </w:r>
      <w:r>
        <w:rPr>
          <w:rFonts w:hint="eastAsia"/>
        </w:rPr>
        <w:t>万吨标准煤。</w:t>
      </w:r>
    </w:p>
    <w:p w14:paraId="384362E7" w14:textId="77777777" w:rsidR="00A739F2" w:rsidRDefault="00597D48">
      <w:pPr>
        <w:widowControl/>
        <w:kinsoku w:val="0"/>
        <w:autoSpaceDE w:val="0"/>
        <w:autoSpaceDN w:val="0"/>
        <w:adjustRightInd w:val="0"/>
        <w:spacing w:before="97" w:line="221" w:lineRule="auto"/>
        <w:ind w:left="601" w:firstLineChars="0" w:firstLine="0"/>
        <w:jc w:val="left"/>
        <w:textAlignment w:val="baseline"/>
        <w:outlineLvl w:val="0"/>
        <w:rPr>
          <w:rFonts w:eastAsia="黑体" w:cs="黑体"/>
          <w:snapToGrid w:val="0"/>
          <w:color w:val="000000"/>
          <w:spacing w:val="-2"/>
          <w:kern w:val="0"/>
          <w:szCs w:val="32"/>
        </w:rPr>
      </w:pPr>
      <w:bookmarkStart w:id="273" w:name="_Toc4830"/>
      <w:bookmarkStart w:id="274" w:name="_Toc27043"/>
      <w:r>
        <w:rPr>
          <w:rFonts w:eastAsia="黑体" w:cs="黑体" w:hint="eastAsia"/>
          <w:snapToGrid w:val="0"/>
          <w:color w:val="000000"/>
          <w:spacing w:val="-2"/>
          <w:kern w:val="0"/>
          <w:szCs w:val="32"/>
        </w:rPr>
        <w:t>八、可再生能源消纳利用方案</w:t>
      </w:r>
      <w:bookmarkEnd w:id="247"/>
      <w:bookmarkEnd w:id="248"/>
      <w:bookmarkEnd w:id="249"/>
      <w:bookmarkEnd w:id="250"/>
      <w:bookmarkEnd w:id="251"/>
      <w:bookmarkEnd w:id="252"/>
      <w:bookmarkEnd w:id="273"/>
      <w:bookmarkEnd w:id="274"/>
    </w:p>
    <w:p w14:paraId="0C3617FB" w14:textId="77777777" w:rsidR="00A739F2" w:rsidRDefault="00597D48">
      <w:pPr>
        <w:pStyle w:val="af6"/>
        <w:rPr>
          <w:rFonts w:ascii="Times New Roman" w:hAnsi="Times New Roman"/>
        </w:rPr>
      </w:pPr>
      <w:bookmarkStart w:id="275" w:name="_Toc106382464"/>
      <w:bookmarkStart w:id="276" w:name="_Toc24618"/>
      <w:bookmarkStart w:id="277" w:name="_Toc10175"/>
      <w:bookmarkStart w:id="278" w:name="_Toc855"/>
      <w:bookmarkStart w:id="279" w:name="_Toc1221"/>
      <w:bookmarkStart w:id="280" w:name="_Toc25308"/>
      <w:bookmarkStart w:id="281" w:name="_Toc4111"/>
      <w:bookmarkStart w:id="282" w:name="_Toc2469"/>
      <w:r>
        <w:rPr>
          <w:rFonts w:ascii="Times New Roman" w:hAnsi="Times New Roman"/>
        </w:rPr>
        <w:t>（</w:t>
      </w:r>
      <w:r>
        <w:rPr>
          <w:rFonts w:ascii="Times New Roman" w:hAnsi="Times New Roman" w:hint="eastAsia"/>
        </w:rPr>
        <w:t>一</w:t>
      </w:r>
      <w:r>
        <w:rPr>
          <w:rFonts w:ascii="Times New Roman" w:hAnsi="Times New Roman"/>
        </w:rPr>
        <w:t>）推</w:t>
      </w:r>
      <w:r>
        <w:rPr>
          <w:rFonts w:ascii="Times New Roman" w:hAnsi="Times New Roman" w:hint="eastAsia"/>
        </w:rPr>
        <w:t>动</w:t>
      </w:r>
      <w:r>
        <w:rPr>
          <w:rFonts w:ascii="Times New Roman" w:hAnsi="Times New Roman"/>
        </w:rPr>
        <w:t>工业园区</w:t>
      </w:r>
      <w:bookmarkEnd w:id="275"/>
      <w:r>
        <w:rPr>
          <w:rFonts w:ascii="Times New Roman" w:hAnsi="Times New Roman" w:hint="eastAsia"/>
        </w:rPr>
        <w:t>存量</w:t>
      </w:r>
      <w:proofErr w:type="gramStart"/>
      <w:r>
        <w:rPr>
          <w:rFonts w:ascii="Times New Roman" w:hAnsi="Times New Roman" w:hint="eastAsia"/>
        </w:rPr>
        <w:t>负荷绿电替代</w:t>
      </w:r>
      <w:bookmarkEnd w:id="276"/>
      <w:bookmarkEnd w:id="277"/>
      <w:bookmarkEnd w:id="278"/>
      <w:bookmarkEnd w:id="279"/>
      <w:bookmarkEnd w:id="280"/>
      <w:bookmarkEnd w:id="281"/>
      <w:bookmarkEnd w:id="282"/>
      <w:proofErr w:type="gramEnd"/>
    </w:p>
    <w:p w14:paraId="1242A66B" w14:textId="77777777" w:rsidR="00A739F2" w:rsidRDefault="00597D48">
      <w:r>
        <w:rPr>
          <w:rFonts w:hint="eastAsia"/>
        </w:rPr>
        <w:t>充分调查挖掘康巴什区工业园区及周边高新技术产业园区、蒙苏经济开发区等工业园区用能需求，建立详细的用电、用热、用冷分类需求数据库。根据企业的生产工艺、设备特点以及能源管理水平，评估各企业的负荷响应能力，明确其</w:t>
      </w:r>
      <w:proofErr w:type="gramStart"/>
      <w:r>
        <w:rPr>
          <w:rFonts w:hint="eastAsia"/>
        </w:rPr>
        <w:t>参与绿电替代</w:t>
      </w:r>
      <w:proofErr w:type="gramEnd"/>
      <w:r>
        <w:rPr>
          <w:rFonts w:hint="eastAsia"/>
        </w:rPr>
        <w:t>的潜力和可行性。</w:t>
      </w:r>
    </w:p>
    <w:p w14:paraId="21F70D1F" w14:textId="77777777" w:rsidR="00A739F2" w:rsidRDefault="00597D48">
      <w:r>
        <w:rPr>
          <w:rFonts w:hint="eastAsia"/>
        </w:rPr>
        <w:t>在靠近工业园区的规划场址发展用于</w:t>
      </w:r>
      <w:proofErr w:type="gramStart"/>
      <w:r>
        <w:rPr>
          <w:rFonts w:hint="eastAsia"/>
        </w:rPr>
        <w:t>园区绿电替代</w:t>
      </w:r>
      <w:proofErr w:type="gramEnd"/>
      <w:r>
        <w:rPr>
          <w:rFonts w:hint="eastAsia"/>
        </w:rPr>
        <w:t>的新能源项目，通过园区用电负荷促进新能源消纳利用。在阿布</w:t>
      </w:r>
      <w:proofErr w:type="gramStart"/>
      <w:r>
        <w:rPr>
          <w:rFonts w:hint="eastAsia"/>
        </w:rPr>
        <w:t>亥</w:t>
      </w:r>
      <w:proofErr w:type="gramEnd"/>
      <w:r>
        <w:rPr>
          <w:rFonts w:hint="eastAsia"/>
        </w:rPr>
        <w:t>沟</w:t>
      </w:r>
      <w:r>
        <w:rPr>
          <w:rFonts w:hint="eastAsia"/>
        </w:rPr>
        <w:lastRenderedPageBreak/>
        <w:t>东侧，靠近装备产业园区丘陵地带具备建设</w:t>
      </w:r>
      <w:r>
        <w:rPr>
          <w:rFonts w:hint="eastAsia"/>
        </w:rPr>
        <w:t>30</w:t>
      </w:r>
      <w:r>
        <w:rPr>
          <w:rFonts w:hint="eastAsia"/>
        </w:rPr>
        <w:t>兆瓦分散式风电条件。</w:t>
      </w:r>
      <w:proofErr w:type="gramStart"/>
      <w:r>
        <w:rPr>
          <w:rFonts w:hint="eastAsia"/>
        </w:rPr>
        <w:t>荣乌高速</w:t>
      </w:r>
      <w:proofErr w:type="gramEnd"/>
      <w:r>
        <w:rPr>
          <w:rFonts w:hint="eastAsia"/>
        </w:rPr>
        <w:t>以北，</w:t>
      </w:r>
      <w:r>
        <w:rPr>
          <w:rFonts w:hint="eastAsia"/>
        </w:rPr>
        <w:t>210</w:t>
      </w:r>
      <w:r>
        <w:rPr>
          <w:rFonts w:hint="eastAsia"/>
        </w:rPr>
        <w:t>国道以西丘陵区域风资源较好，具备建设</w:t>
      </w:r>
      <w:r>
        <w:rPr>
          <w:rFonts w:hint="eastAsia"/>
        </w:rPr>
        <w:t>70</w:t>
      </w:r>
      <w:r>
        <w:rPr>
          <w:rFonts w:hint="eastAsia"/>
        </w:rPr>
        <w:t>兆瓦风电作为</w:t>
      </w:r>
      <w:proofErr w:type="gramStart"/>
      <w:r>
        <w:rPr>
          <w:rFonts w:hint="eastAsia"/>
        </w:rPr>
        <w:t>园区绿电替代</w:t>
      </w:r>
      <w:proofErr w:type="gramEnd"/>
      <w:r>
        <w:rPr>
          <w:rFonts w:hint="eastAsia"/>
        </w:rPr>
        <w:t>项目的条件。</w:t>
      </w:r>
      <w:r>
        <w:rPr>
          <w:rFonts w:hint="eastAsia"/>
        </w:rPr>
        <w:t>210</w:t>
      </w:r>
      <w:r>
        <w:rPr>
          <w:rFonts w:hint="eastAsia"/>
        </w:rPr>
        <w:t>国道以东至那林沟周边区域，可建设</w:t>
      </w:r>
      <w:r>
        <w:rPr>
          <w:rFonts w:hint="eastAsia"/>
        </w:rPr>
        <w:t>400</w:t>
      </w:r>
      <w:r>
        <w:rPr>
          <w:rFonts w:hint="eastAsia"/>
        </w:rPr>
        <w:t>兆瓦光</w:t>
      </w:r>
      <w:proofErr w:type="gramStart"/>
      <w:r>
        <w:rPr>
          <w:rFonts w:hint="eastAsia"/>
        </w:rPr>
        <w:t>伏作为零碳</w:t>
      </w:r>
      <w:proofErr w:type="gramEnd"/>
      <w:r>
        <w:rPr>
          <w:rFonts w:hint="eastAsia"/>
        </w:rPr>
        <w:t>园区配套新能源项目。</w:t>
      </w:r>
    </w:p>
    <w:p w14:paraId="1DBF2539" w14:textId="77777777" w:rsidR="00A739F2" w:rsidRDefault="00597D48">
      <w:pPr>
        <w:pStyle w:val="af6"/>
        <w:rPr>
          <w:rFonts w:ascii="Times New Roman" w:hAnsi="Times New Roman" w:cs="Times New Roman"/>
        </w:rPr>
      </w:pPr>
      <w:bookmarkStart w:id="283" w:name="_Toc7925"/>
      <w:bookmarkStart w:id="284" w:name="_Toc3474"/>
      <w:bookmarkStart w:id="285" w:name="_Toc19155"/>
      <w:bookmarkStart w:id="286" w:name="_Toc8112"/>
      <w:bookmarkStart w:id="287" w:name="_Toc9397"/>
      <w:bookmarkStart w:id="288" w:name="_Toc3251"/>
      <w:bookmarkStart w:id="289" w:name="_Toc26223"/>
      <w:r>
        <w:rPr>
          <w:rFonts w:ascii="Times New Roman" w:hAnsi="Times New Roman" w:hint="eastAsia"/>
        </w:rPr>
        <w:t>（二</w:t>
      </w:r>
      <w:r>
        <w:rPr>
          <w:rFonts w:ascii="Times New Roman" w:eastAsia="微软雅黑" w:hAnsi="Times New Roman" w:cs="微软雅黑" w:hint="eastAsia"/>
        </w:rPr>
        <w:t>）</w:t>
      </w:r>
      <w:bookmarkEnd w:id="283"/>
      <w:bookmarkEnd w:id="284"/>
      <w:bookmarkEnd w:id="285"/>
      <w:bookmarkEnd w:id="286"/>
      <w:bookmarkEnd w:id="287"/>
      <w:bookmarkEnd w:id="288"/>
      <w:r>
        <w:rPr>
          <w:rFonts w:ascii="Times New Roman" w:hAnsi="Times New Roman" w:hint="eastAsia"/>
        </w:rPr>
        <w:t>发展高比例新能源绿色智慧配电网</w:t>
      </w:r>
      <w:bookmarkEnd w:id="289"/>
    </w:p>
    <w:p w14:paraId="4903AFB5" w14:textId="77777777" w:rsidR="00A739F2" w:rsidRDefault="00597D48">
      <w:r>
        <w:rPr>
          <w:rFonts w:hint="eastAsia"/>
        </w:rPr>
        <w:t>目前我国城市核心区的新能源消费占比普遍较低，城市内负荷侧调节机制尚不完善，负荷侧调节能力尚未得到充分利用，为实现</w:t>
      </w:r>
      <w:proofErr w:type="gramStart"/>
      <w:r>
        <w:rPr>
          <w:rFonts w:hint="eastAsia"/>
        </w:rPr>
        <w:t>双碳目标</w:t>
      </w:r>
      <w:proofErr w:type="gramEnd"/>
      <w:r>
        <w:rPr>
          <w:rFonts w:hint="eastAsia"/>
        </w:rPr>
        <w:t>和建设新型</w:t>
      </w:r>
      <w:r>
        <w:rPr>
          <w:rFonts w:hint="eastAsia"/>
        </w:rPr>
        <w:t>电力系统，亟须在城市发展高比例新能源的绿色智慧配电网。</w:t>
      </w:r>
    </w:p>
    <w:p w14:paraId="2D788ED8" w14:textId="77777777" w:rsidR="00A739F2" w:rsidRDefault="00597D48">
      <w:r>
        <w:rPr>
          <w:rFonts w:hint="eastAsia"/>
        </w:rPr>
        <w:t>康巴什区作为全国首个以城市景观为</w:t>
      </w:r>
      <w:proofErr w:type="gramStart"/>
      <w:r>
        <w:rPr>
          <w:rFonts w:hint="eastAsia"/>
        </w:rPr>
        <w:t>载体获</w:t>
      </w:r>
      <w:proofErr w:type="gramEnd"/>
      <w:r>
        <w:rPr>
          <w:rFonts w:hint="eastAsia"/>
        </w:rPr>
        <w:t>评的国家</w:t>
      </w:r>
      <w:r>
        <w:rPr>
          <w:rFonts w:hint="eastAsia"/>
        </w:rPr>
        <w:t>AAAA</w:t>
      </w:r>
      <w:r>
        <w:rPr>
          <w:rFonts w:hint="eastAsia"/>
        </w:rPr>
        <w:t>级旅游景区，正在建设美丽内蒙古先行区和</w:t>
      </w:r>
      <w:proofErr w:type="gramStart"/>
      <w:r>
        <w:rPr>
          <w:rFonts w:hint="eastAsia"/>
        </w:rPr>
        <w:t>美丽暖城示范区</w:t>
      </w:r>
      <w:proofErr w:type="gramEnd"/>
      <w:r>
        <w:rPr>
          <w:rFonts w:hint="eastAsia"/>
        </w:rPr>
        <w:t>，这是对深入贯彻落</w:t>
      </w:r>
      <w:proofErr w:type="gramStart"/>
      <w:r>
        <w:rPr>
          <w:rFonts w:hint="eastAsia"/>
        </w:rPr>
        <w:t>实习近</w:t>
      </w:r>
      <w:proofErr w:type="gramEnd"/>
      <w:r>
        <w:rPr>
          <w:rFonts w:hint="eastAsia"/>
        </w:rPr>
        <w:t>平总书记对内蒙古重要指示精神的重要任务。康巴什区电力消费总量相对较小，城区周边新能源建设条件良好，配电网等基础设施完善，具备发展高比例新能源绿色智慧配电网的良好条件。</w:t>
      </w:r>
    </w:p>
    <w:p w14:paraId="050CB104" w14:textId="77777777" w:rsidR="00A739F2" w:rsidRDefault="00597D48">
      <w:r>
        <w:rPr>
          <w:rFonts w:hint="eastAsia"/>
        </w:rPr>
        <w:t>康巴什区作为鄂尔多斯市发展新型电力系统试点中重要的城市载体，应加大新能源电力绿色替代，建设新能源自平衡微电网，打造</w:t>
      </w:r>
      <w:proofErr w:type="gramStart"/>
      <w:r>
        <w:rPr>
          <w:rFonts w:hint="eastAsia"/>
        </w:rPr>
        <w:t>绿电楼宇、绿电社区和绿电园区</w:t>
      </w:r>
      <w:proofErr w:type="gramEnd"/>
      <w:r>
        <w:rPr>
          <w:rFonts w:hint="eastAsia"/>
        </w:rPr>
        <w:t>样板。加大电动汽</w:t>
      </w:r>
      <w:r>
        <w:rPr>
          <w:rFonts w:hint="eastAsia"/>
        </w:rPr>
        <w:t>车推广力度和互动式充电桩建设，</w:t>
      </w:r>
      <w:proofErr w:type="gramStart"/>
      <w:r>
        <w:rPr>
          <w:rFonts w:hint="eastAsia"/>
        </w:rPr>
        <w:t>促进车网</w:t>
      </w:r>
      <w:proofErr w:type="gramEnd"/>
      <w:r>
        <w:rPr>
          <w:rFonts w:hint="eastAsia"/>
        </w:rPr>
        <w:t>双向互动，通过发</w:t>
      </w:r>
      <w:r>
        <w:rPr>
          <w:rFonts w:hint="eastAsia"/>
        </w:rPr>
        <w:lastRenderedPageBreak/>
        <w:t>展绿色交通提高新能源消</w:t>
      </w:r>
      <w:proofErr w:type="gramStart"/>
      <w:r>
        <w:rPr>
          <w:rFonts w:hint="eastAsia"/>
        </w:rPr>
        <w:t>纳能力</w:t>
      </w:r>
      <w:proofErr w:type="gramEnd"/>
      <w:r>
        <w:rPr>
          <w:rFonts w:hint="eastAsia"/>
        </w:rPr>
        <w:t>和电网灵活调节能力。聚合康巴什区内分布式新能源、充电设施、电锅炉、储能等，建设场站层虚拟电厂，共同接入城区虚拟电厂控制平台，优化用电负荷特性，提高城区配电网柔性，实现与蒙西电网间的灵活互动。加快提高</w:t>
      </w:r>
      <w:proofErr w:type="gramStart"/>
      <w:r>
        <w:rPr>
          <w:rFonts w:hint="eastAsia"/>
        </w:rPr>
        <w:t>绿电消费</w:t>
      </w:r>
      <w:proofErr w:type="gramEnd"/>
      <w:r>
        <w:rPr>
          <w:rFonts w:hint="eastAsia"/>
        </w:rPr>
        <w:t>占康巴什区用电量的比例，力争将康巴什区打造为全国</w:t>
      </w:r>
      <w:proofErr w:type="gramStart"/>
      <w:r>
        <w:rPr>
          <w:rFonts w:hint="eastAsia"/>
        </w:rPr>
        <w:t>首个零碳用电</w:t>
      </w:r>
      <w:proofErr w:type="gramEnd"/>
      <w:r>
        <w:rPr>
          <w:rFonts w:hint="eastAsia"/>
        </w:rPr>
        <w:t>示范区。</w:t>
      </w:r>
    </w:p>
    <w:p w14:paraId="52EF90F0" w14:textId="77777777" w:rsidR="00A739F2" w:rsidRDefault="00597D48">
      <w:pPr>
        <w:pStyle w:val="af6"/>
        <w:rPr>
          <w:rFonts w:ascii="Times New Roman" w:hAnsi="Times New Roman"/>
        </w:rPr>
      </w:pPr>
      <w:bookmarkStart w:id="290" w:name="_Toc2857"/>
      <w:bookmarkStart w:id="291" w:name="_Toc20844"/>
      <w:bookmarkStart w:id="292" w:name="_Toc31375"/>
      <w:bookmarkStart w:id="293" w:name="_Toc10780"/>
      <w:bookmarkStart w:id="294" w:name="_Toc2472"/>
      <w:bookmarkStart w:id="295" w:name="_Toc106382465"/>
      <w:bookmarkStart w:id="296" w:name="_Toc24021"/>
      <w:bookmarkStart w:id="297" w:name="_Toc2744"/>
      <w:r>
        <w:rPr>
          <w:rFonts w:ascii="Times New Roman" w:hAnsi="Times New Roman" w:hint="eastAsia"/>
        </w:rPr>
        <w:t>（三）</w:t>
      </w:r>
      <w:bookmarkStart w:id="298" w:name="_Toc28121"/>
      <w:bookmarkStart w:id="299" w:name="_Toc2932"/>
      <w:bookmarkStart w:id="300" w:name="_Toc12035"/>
      <w:bookmarkStart w:id="301" w:name="_Toc31058"/>
      <w:bookmarkStart w:id="302" w:name="_Toc9911"/>
      <w:bookmarkEnd w:id="290"/>
      <w:bookmarkEnd w:id="291"/>
      <w:bookmarkEnd w:id="292"/>
      <w:bookmarkEnd w:id="293"/>
      <w:bookmarkEnd w:id="294"/>
      <w:bookmarkEnd w:id="295"/>
      <w:r>
        <w:rPr>
          <w:rFonts w:ascii="Times New Roman" w:hAnsi="Times New Roman" w:hint="eastAsia"/>
        </w:rPr>
        <w:t>推动新能源制氢耦合发展</w:t>
      </w:r>
      <w:bookmarkEnd w:id="296"/>
      <w:bookmarkEnd w:id="297"/>
      <w:bookmarkEnd w:id="298"/>
      <w:bookmarkEnd w:id="299"/>
      <w:bookmarkEnd w:id="300"/>
      <w:bookmarkEnd w:id="301"/>
      <w:bookmarkEnd w:id="302"/>
    </w:p>
    <w:p w14:paraId="4B9820A7" w14:textId="77777777" w:rsidR="00A739F2" w:rsidRDefault="00597D48">
      <w:r>
        <w:rPr>
          <w:rFonts w:hint="eastAsia"/>
        </w:rPr>
        <w:t>以氢能为纽带，衔接风能、太阳能、储能协同管理，在供应和消费两端实现能源绿色转型，构建“多能互补、源网荷协同”的一体化区域能源</w:t>
      </w:r>
      <w:r>
        <w:rPr>
          <w:rFonts w:hint="eastAsia"/>
        </w:rPr>
        <w:t>网络。利用氢能的优点提高能源供需协调能力，推动能源清洁生产和就近消纳，实现多能协同供应和综合梯级利用，减少弃风、弃光电量，取得最佳能源利用效率和效益。</w:t>
      </w:r>
    </w:p>
    <w:p w14:paraId="26297BDD" w14:textId="77777777" w:rsidR="00A739F2" w:rsidRDefault="00597D48">
      <w:r>
        <w:rPr>
          <w:rFonts w:hint="eastAsia"/>
        </w:rPr>
        <w:t>结合鄂尔多斯市国家燃料电池汽车示范城市的定位，利用清洁能源电力电解水制氢，符合国家提倡的绿色发电、绿色氢能，也在一定程度上可以解决清洁能源发电消纳、</w:t>
      </w:r>
      <w:proofErr w:type="gramStart"/>
      <w:r>
        <w:rPr>
          <w:rFonts w:hint="eastAsia"/>
        </w:rPr>
        <w:t>并网难</w:t>
      </w:r>
      <w:proofErr w:type="gramEnd"/>
      <w:r>
        <w:rPr>
          <w:rFonts w:hint="eastAsia"/>
        </w:rPr>
        <w:t>的问题。</w:t>
      </w:r>
    </w:p>
    <w:p w14:paraId="208194EB" w14:textId="77777777" w:rsidR="00A739F2" w:rsidRDefault="00597D48">
      <w:r>
        <w:rPr>
          <w:rFonts w:hint="eastAsia"/>
        </w:rPr>
        <w:t>统筹规划康巴什区及周边区市用氢需求量，以康巴什区新能源风光制氢为基础，</w:t>
      </w:r>
      <w:proofErr w:type="gramStart"/>
      <w:r>
        <w:rPr>
          <w:rFonts w:hint="eastAsia"/>
        </w:rPr>
        <w:t>发展绿氢产业</w:t>
      </w:r>
      <w:proofErr w:type="gramEnd"/>
      <w:r>
        <w:rPr>
          <w:rFonts w:hint="eastAsia"/>
        </w:rPr>
        <w:t>，</w:t>
      </w:r>
      <w:proofErr w:type="gramStart"/>
      <w:r>
        <w:rPr>
          <w:rFonts w:hint="eastAsia"/>
        </w:rPr>
        <w:t>推广绿氢在</w:t>
      </w:r>
      <w:proofErr w:type="gramEnd"/>
      <w:r>
        <w:rPr>
          <w:rFonts w:hint="eastAsia"/>
        </w:rPr>
        <w:t>康巴什区各领域的应用，促进新能源本地消纳。</w:t>
      </w:r>
    </w:p>
    <w:p w14:paraId="263AC7BA" w14:textId="77777777" w:rsidR="00A739F2" w:rsidRDefault="00597D48">
      <w:r>
        <w:rPr>
          <w:rFonts w:hint="eastAsia"/>
        </w:rPr>
        <w:lastRenderedPageBreak/>
        <w:t>有序推</w:t>
      </w:r>
      <w:r>
        <w:rPr>
          <w:rFonts w:cs="仿宋_GB2312" w:hint="eastAsia"/>
        </w:rPr>
        <w:t>进氢燃</w:t>
      </w:r>
      <w:r>
        <w:rPr>
          <w:rFonts w:hint="eastAsia"/>
        </w:rPr>
        <w:t>料汽车</w:t>
      </w:r>
      <w:r>
        <w:rPr>
          <w:rFonts w:cs="仿宋_GB2312" w:hint="eastAsia"/>
        </w:rPr>
        <w:t>替换。以公</w:t>
      </w:r>
      <w:r>
        <w:rPr>
          <w:rFonts w:hint="eastAsia"/>
        </w:rPr>
        <w:t>共</w:t>
      </w:r>
      <w:r>
        <w:rPr>
          <w:rFonts w:cs="仿宋_GB2312" w:hint="eastAsia"/>
        </w:rPr>
        <w:t>交通</w:t>
      </w:r>
      <w:r>
        <w:rPr>
          <w:rFonts w:hint="eastAsia"/>
        </w:rPr>
        <w:t>领</w:t>
      </w:r>
      <w:r>
        <w:rPr>
          <w:rFonts w:cs="仿宋_GB2312" w:hint="eastAsia"/>
        </w:rPr>
        <w:t>域的应用为突破</w:t>
      </w:r>
      <w:r>
        <w:rPr>
          <w:rFonts w:hint="eastAsia"/>
        </w:rPr>
        <w:t>口</w:t>
      </w:r>
      <w:r>
        <w:rPr>
          <w:rFonts w:cs="仿宋_GB2312" w:hint="eastAsia"/>
        </w:rPr>
        <w:t>，</w:t>
      </w:r>
      <w:r>
        <w:rPr>
          <w:rFonts w:hint="eastAsia"/>
        </w:rPr>
        <w:t>带</w:t>
      </w:r>
      <w:r>
        <w:rPr>
          <w:rFonts w:cs="仿宋_GB2312" w:hint="eastAsia"/>
        </w:rPr>
        <w:t>动</w:t>
      </w:r>
      <w:r>
        <w:rPr>
          <w:rFonts w:cs="仿宋_GB2312" w:hint="eastAsia"/>
        </w:rPr>
        <w:t>氢燃</w:t>
      </w:r>
      <w:r>
        <w:rPr>
          <w:rFonts w:hint="eastAsia"/>
        </w:rPr>
        <w:t>料汽车</w:t>
      </w:r>
      <w:r>
        <w:rPr>
          <w:rFonts w:cs="仿宋_GB2312" w:hint="eastAsia"/>
        </w:rPr>
        <w:t>市场发展。制定康巴什区氢燃</w:t>
      </w:r>
      <w:r>
        <w:rPr>
          <w:rFonts w:hint="eastAsia"/>
        </w:rPr>
        <w:t>料</w:t>
      </w:r>
      <w:r>
        <w:rPr>
          <w:rFonts w:cs="仿宋_GB2312" w:hint="eastAsia"/>
        </w:rPr>
        <w:t>电池公交</w:t>
      </w:r>
      <w:r>
        <w:rPr>
          <w:rFonts w:hint="eastAsia"/>
        </w:rPr>
        <w:t>车</w:t>
      </w:r>
      <w:r>
        <w:rPr>
          <w:rFonts w:cs="仿宋_GB2312" w:hint="eastAsia"/>
        </w:rPr>
        <w:t>、</w:t>
      </w:r>
      <w:r>
        <w:rPr>
          <w:rFonts w:hint="eastAsia"/>
        </w:rPr>
        <w:t>客车</w:t>
      </w:r>
      <w:r>
        <w:rPr>
          <w:rFonts w:cs="仿宋_GB2312" w:hint="eastAsia"/>
        </w:rPr>
        <w:t>应用示范</w:t>
      </w:r>
      <w:r>
        <w:rPr>
          <w:rFonts w:hint="eastAsia"/>
        </w:rPr>
        <w:t>计</w:t>
      </w:r>
      <w:r>
        <w:rPr>
          <w:rFonts w:cs="仿宋_GB2312" w:hint="eastAsia"/>
        </w:rPr>
        <w:t>划，</w:t>
      </w:r>
      <w:r>
        <w:rPr>
          <w:rFonts w:hint="eastAsia"/>
        </w:rPr>
        <w:t>逐</w:t>
      </w:r>
      <w:r>
        <w:rPr>
          <w:rFonts w:cs="仿宋_GB2312" w:hint="eastAsia"/>
        </w:rPr>
        <w:t>年分批</w:t>
      </w:r>
      <w:r>
        <w:rPr>
          <w:rFonts w:hint="eastAsia"/>
        </w:rPr>
        <w:t>次</w:t>
      </w:r>
      <w:r>
        <w:rPr>
          <w:rFonts w:cs="仿宋_GB2312" w:hint="eastAsia"/>
        </w:rPr>
        <w:t>替换</w:t>
      </w:r>
      <w:r>
        <w:rPr>
          <w:rFonts w:hint="eastAsia"/>
        </w:rPr>
        <w:t>燃油车</w:t>
      </w:r>
      <w:r>
        <w:rPr>
          <w:rFonts w:cs="仿宋_GB2312" w:hint="eastAsia"/>
        </w:rPr>
        <w:t>为氢燃</w:t>
      </w:r>
      <w:r>
        <w:rPr>
          <w:rFonts w:hint="eastAsia"/>
        </w:rPr>
        <w:t>料</w:t>
      </w:r>
      <w:r>
        <w:rPr>
          <w:rFonts w:cs="仿宋_GB2312" w:hint="eastAsia"/>
        </w:rPr>
        <w:t>电池</w:t>
      </w:r>
      <w:r>
        <w:rPr>
          <w:rFonts w:hint="eastAsia"/>
        </w:rPr>
        <w:t>车</w:t>
      </w:r>
      <w:r>
        <w:rPr>
          <w:rFonts w:cs="仿宋_GB2312" w:hint="eastAsia"/>
        </w:rPr>
        <w:t>。加</w:t>
      </w:r>
      <w:r>
        <w:rPr>
          <w:rFonts w:hint="eastAsia"/>
        </w:rPr>
        <w:t>快</w:t>
      </w:r>
      <w:r>
        <w:rPr>
          <w:rFonts w:cs="仿宋_GB2312" w:hint="eastAsia"/>
        </w:rPr>
        <w:t>城市公交、公</w:t>
      </w:r>
      <w:r>
        <w:rPr>
          <w:rFonts w:hint="eastAsia"/>
        </w:rPr>
        <w:t>务</w:t>
      </w:r>
      <w:r>
        <w:rPr>
          <w:rFonts w:cs="仿宋_GB2312" w:hint="eastAsia"/>
        </w:rPr>
        <w:t>、出</w:t>
      </w:r>
      <w:r>
        <w:rPr>
          <w:rFonts w:hint="eastAsia"/>
        </w:rPr>
        <w:t>租</w:t>
      </w:r>
      <w:r>
        <w:rPr>
          <w:rFonts w:cs="仿宋_GB2312" w:hint="eastAsia"/>
        </w:rPr>
        <w:t>等公</w:t>
      </w:r>
      <w:r>
        <w:rPr>
          <w:rFonts w:hint="eastAsia"/>
        </w:rPr>
        <w:t>共领</w:t>
      </w:r>
      <w:r>
        <w:rPr>
          <w:rFonts w:cs="仿宋_GB2312" w:hint="eastAsia"/>
        </w:rPr>
        <w:t>域燃</w:t>
      </w:r>
      <w:r>
        <w:rPr>
          <w:rFonts w:hint="eastAsia"/>
        </w:rPr>
        <w:t>油车辆</w:t>
      </w:r>
      <w:r>
        <w:rPr>
          <w:rFonts w:cs="仿宋_GB2312" w:hint="eastAsia"/>
        </w:rPr>
        <w:t>的</w:t>
      </w:r>
      <w:r>
        <w:rPr>
          <w:rFonts w:hint="eastAsia"/>
        </w:rPr>
        <w:t>淘汰</w:t>
      </w:r>
      <w:r>
        <w:rPr>
          <w:rFonts w:cs="仿宋_GB2312" w:hint="eastAsia"/>
        </w:rPr>
        <w:t>速度，</w:t>
      </w:r>
      <w:r>
        <w:rPr>
          <w:rFonts w:hint="eastAsia"/>
        </w:rPr>
        <w:t>推</w:t>
      </w:r>
      <w:r>
        <w:rPr>
          <w:rFonts w:cs="仿宋_GB2312" w:hint="eastAsia"/>
        </w:rPr>
        <w:t>动各</w:t>
      </w:r>
      <w:r>
        <w:rPr>
          <w:rFonts w:hint="eastAsia"/>
        </w:rPr>
        <w:t>级</w:t>
      </w:r>
      <w:r>
        <w:rPr>
          <w:rFonts w:cs="仿宋_GB2312" w:hint="eastAsia"/>
        </w:rPr>
        <w:t>政府及公</w:t>
      </w:r>
      <w:r>
        <w:rPr>
          <w:rFonts w:hint="eastAsia"/>
        </w:rPr>
        <w:t>共</w:t>
      </w:r>
      <w:r>
        <w:rPr>
          <w:rFonts w:cs="仿宋_GB2312" w:hint="eastAsia"/>
        </w:rPr>
        <w:t>机</w:t>
      </w:r>
      <w:r>
        <w:rPr>
          <w:rFonts w:hint="eastAsia"/>
        </w:rPr>
        <w:t>构</w:t>
      </w:r>
      <w:r>
        <w:rPr>
          <w:rFonts w:cs="仿宋_GB2312" w:hint="eastAsia"/>
        </w:rPr>
        <w:t>加大燃</w:t>
      </w:r>
      <w:r>
        <w:rPr>
          <w:rFonts w:hint="eastAsia"/>
        </w:rPr>
        <w:t>料</w:t>
      </w:r>
      <w:r>
        <w:rPr>
          <w:rFonts w:cs="仿宋_GB2312" w:hint="eastAsia"/>
        </w:rPr>
        <w:t>电池</w:t>
      </w:r>
      <w:r>
        <w:rPr>
          <w:rFonts w:hint="eastAsia"/>
        </w:rPr>
        <w:t>汽车</w:t>
      </w:r>
      <w:r>
        <w:rPr>
          <w:rFonts w:cs="仿宋_GB2312" w:hint="eastAsia"/>
        </w:rPr>
        <w:t>采</w:t>
      </w:r>
      <w:r>
        <w:rPr>
          <w:rFonts w:hint="eastAsia"/>
        </w:rPr>
        <w:t>购</w:t>
      </w:r>
      <w:r>
        <w:rPr>
          <w:rFonts w:cs="仿宋_GB2312" w:hint="eastAsia"/>
        </w:rPr>
        <w:t>数量。加快清洁能源在交通运输领域的推广和使用，大力推广新能源汽车，</w:t>
      </w:r>
      <w:proofErr w:type="gramStart"/>
      <w:r>
        <w:rPr>
          <w:rFonts w:cs="仿宋_GB2312" w:hint="eastAsia"/>
        </w:rPr>
        <w:t>完善加</w:t>
      </w:r>
      <w:proofErr w:type="gramEnd"/>
      <w:r>
        <w:rPr>
          <w:rFonts w:cs="仿宋_GB2312" w:hint="eastAsia"/>
        </w:rPr>
        <w:t>气、加氢设施，逐步提高清洁能源和新能源运输车辆在城市公交和出租车领域的应用比例。全面</w:t>
      </w:r>
      <w:proofErr w:type="gramStart"/>
      <w:r>
        <w:rPr>
          <w:rFonts w:cs="仿宋_GB2312" w:hint="eastAsia"/>
        </w:rPr>
        <w:t>实施国</w:t>
      </w:r>
      <w:proofErr w:type="gramEnd"/>
      <w:r>
        <w:rPr>
          <w:rFonts w:cs="仿宋_GB2312" w:hint="eastAsia"/>
        </w:rPr>
        <w:t>Ⅵ汽车、国Ⅳ非道路机械排放标准，全面</w:t>
      </w:r>
      <w:proofErr w:type="gramStart"/>
      <w:r>
        <w:rPr>
          <w:rFonts w:cs="仿宋_GB2312" w:hint="eastAsia"/>
        </w:rPr>
        <w:t>淘汰国</w:t>
      </w:r>
      <w:proofErr w:type="gramEnd"/>
      <w:r>
        <w:rPr>
          <w:rFonts w:cs="仿宋_GB2312" w:hint="eastAsia"/>
        </w:rPr>
        <w:t>Ⅲ及以下营运柴油货车。到</w:t>
      </w:r>
      <w:r>
        <w:rPr>
          <w:rFonts w:cs="仿宋_GB2312" w:hint="eastAsia"/>
        </w:rPr>
        <w:t>2025</w:t>
      </w:r>
      <w:r>
        <w:rPr>
          <w:rFonts w:cs="仿宋_GB2312" w:hint="eastAsia"/>
        </w:rPr>
        <w:t>年，全区新增和更新新能源公交车比例达到</w:t>
      </w:r>
      <w:r>
        <w:rPr>
          <w:rFonts w:cs="仿宋_GB2312" w:hint="eastAsia"/>
        </w:rPr>
        <w:t>100%</w:t>
      </w:r>
      <w:r>
        <w:rPr>
          <w:rFonts w:cs="仿宋_GB2312" w:hint="eastAsia"/>
        </w:rPr>
        <w:t>。</w:t>
      </w:r>
    </w:p>
    <w:p w14:paraId="380CE192" w14:textId="77777777" w:rsidR="00A739F2" w:rsidRDefault="00597D48">
      <w:r>
        <w:rPr>
          <w:rFonts w:hint="eastAsia"/>
        </w:rPr>
        <w:t>鼓励</w:t>
      </w:r>
      <w:r>
        <w:rPr>
          <w:rFonts w:cs="仿宋_GB2312" w:hint="eastAsia"/>
        </w:rPr>
        <w:t>成立氢燃</w:t>
      </w:r>
      <w:r>
        <w:rPr>
          <w:rFonts w:hint="eastAsia"/>
        </w:rPr>
        <w:t>料</w:t>
      </w:r>
      <w:r>
        <w:rPr>
          <w:rFonts w:cs="仿宋_GB2312" w:hint="eastAsia"/>
        </w:rPr>
        <w:t>电池运</w:t>
      </w:r>
      <w:r>
        <w:rPr>
          <w:rFonts w:hint="eastAsia"/>
        </w:rPr>
        <w:t>输车辆</w:t>
      </w:r>
      <w:r>
        <w:rPr>
          <w:rFonts w:cs="仿宋_GB2312" w:hint="eastAsia"/>
        </w:rPr>
        <w:t>综合</w:t>
      </w:r>
      <w:r>
        <w:rPr>
          <w:rFonts w:hint="eastAsia"/>
        </w:rPr>
        <w:t>服务</w:t>
      </w:r>
      <w:r>
        <w:rPr>
          <w:rFonts w:cs="仿宋_GB2312" w:hint="eastAsia"/>
        </w:rPr>
        <w:t>平</w:t>
      </w:r>
      <w:r>
        <w:rPr>
          <w:rFonts w:hint="eastAsia"/>
        </w:rPr>
        <w:t>台</w:t>
      </w:r>
      <w:r>
        <w:rPr>
          <w:rFonts w:cs="仿宋_GB2312" w:hint="eastAsia"/>
        </w:rPr>
        <w:t>，积极</w:t>
      </w:r>
      <w:r>
        <w:rPr>
          <w:rFonts w:hint="eastAsia"/>
        </w:rPr>
        <w:t>探索融</w:t>
      </w:r>
      <w:r>
        <w:rPr>
          <w:rFonts w:cs="仿宋_GB2312" w:hint="eastAsia"/>
        </w:rPr>
        <w:t>资</w:t>
      </w:r>
      <w:r>
        <w:rPr>
          <w:rFonts w:hint="eastAsia"/>
        </w:rPr>
        <w:t>租赁</w:t>
      </w:r>
      <w:r>
        <w:rPr>
          <w:rFonts w:cs="仿宋_GB2312" w:hint="eastAsia"/>
        </w:rPr>
        <w:t>等</w:t>
      </w:r>
      <w:r>
        <w:rPr>
          <w:rFonts w:hint="eastAsia"/>
        </w:rPr>
        <w:t>商</w:t>
      </w:r>
      <w:r>
        <w:rPr>
          <w:rFonts w:cs="仿宋_GB2312" w:hint="eastAsia"/>
        </w:rPr>
        <w:t>业运</w:t>
      </w:r>
      <w:r>
        <w:rPr>
          <w:rFonts w:hint="eastAsia"/>
        </w:rPr>
        <w:t>营</w:t>
      </w:r>
      <w:r>
        <w:rPr>
          <w:rFonts w:cs="仿宋_GB2312" w:hint="eastAsia"/>
        </w:rPr>
        <w:t>模式，形成良好的示范</w:t>
      </w:r>
      <w:r>
        <w:rPr>
          <w:rFonts w:hint="eastAsia"/>
        </w:rPr>
        <w:t>推广效应</w:t>
      </w:r>
      <w:r>
        <w:rPr>
          <w:rFonts w:cs="仿宋_GB2312" w:hint="eastAsia"/>
        </w:rPr>
        <w:t>。</w:t>
      </w:r>
    </w:p>
    <w:p w14:paraId="61365DF4" w14:textId="77777777" w:rsidR="00A739F2" w:rsidRDefault="00597D48">
      <w:pPr>
        <w:rPr>
          <w:rFonts w:cs="仿宋_GB2312"/>
        </w:rPr>
      </w:pPr>
      <w:r>
        <w:rPr>
          <w:rFonts w:hint="eastAsia"/>
        </w:rPr>
        <w:t>推进工业</w:t>
      </w:r>
      <w:proofErr w:type="gramStart"/>
      <w:r>
        <w:rPr>
          <w:rFonts w:hint="eastAsia"/>
        </w:rPr>
        <w:t>领</w:t>
      </w:r>
      <w:r>
        <w:rPr>
          <w:rFonts w:cs="仿宋_GB2312" w:hint="eastAsia"/>
        </w:rPr>
        <w:t>域绿氢使用率</w:t>
      </w:r>
      <w:proofErr w:type="gramEnd"/>
      <w:r>
        <w:rPr>
          <w:rFonts w:cs="仿宋_GB2312" w:hint="eastAsia"/>
        </w:rPr>
        <w:t>，探索天然气掺氢、火电掺氨、氢能热电联产技术，减少二氧化碳排放量。</w:t>
      </w:r>
      <w:r>
        <w:rPr>
          <w:rFonts w:hint="eastAsia"/>
        </w:rPr>
        <w:t>鼓励</w:t>
      </w:r>
      <w:r>
        <w:rPr>
          <w:rFonts w:cs="仿宋_GB2312" w:hint="eastAsia"/>
        </w:rPr>
        <w:t>企业开展节能减排措施，积极</w:t>
      </w:r>
      <w:r>
        <w:rPr>
          <w:rFonts w:hint="eastAsia"/>
        </w:rPr>
        <w:t>推广</w:t>
      </w:r>
      <w:r>
        <w:rPr>
          <w:rFonts w:cs="仿宋_GB2312" w:hint="eastAsia"/>
        </w:rPr>
        <w:t>绿色氢</w:t>
      </w:r>
      <w:r>
        <w:rPr>
          <w:rFonts w:cs="仿宋_GB2312" w:hint="eastAsia"/>
        </w:rPr>
        <w:t>能作为高效、节能、环保的新技术、新工</w:t>
      </w:r>
      <w:r>
        <w:rPr>
          <w:rFonts w:hint="eastAsia"/>
        </w:rPr>
        <w:t>艺</w:t>
      </w:r>
      <w:r>
        <w:rPr>
          <w:rFonts w:cs="仿宋_GB2312" w:hint="eastAsia"/>
        </w:rPr>
        <w:t>。</w:t>
      </w:r>
    </w:p>
    <w:p w14:paraId="7DBF3127" w14:textId="77777777" w:rsidR="00A739F2" w:rsidRDefault="00597D48">
      <w:pPr>
        <w:pStyle w:val="af6"/>
        <w:rPr>
          <w:rFonts w:ascii="Times New Roman" w:hAnsi="Times New Roman"/>
        </w:rPr>
      </w:pPr>
      <w:bookmarkStart w:id="303" w:name="_Toc106382466"/>
      <w:bookmarkStart w:id="304" w:name="_Toc28471"/>
      <w:bookmarkStart w:id="305" w:name="_Toc6903"/>
      <w:bookmarkStart w:id="306" w:name="_Toc24106"/>
      <w:bookmarkStart w:id="307" w:name="_Toc24782"/>
      <w:bookmarkStart w:id="308" w:name="_Toc1234"/>
      <w:bookmarkStart w:id="309" w:name="_Toc21529"/>
      <w:bookmarkStart w:id="310" w:name="_Toc20048"/>
      <w:r>
        <w:rPr>
          <w:rFonts w:ascii="Times New Roman" w:hAnsi="Times New Roman" w:hint="eastAsia"/>
        </w:rPr>
        <w:t>（四）</w:t>
      </w:r>
      <w:bookmarkEnd w:id="303"/>
      <w:r>
        <w:rPr>
          <w:rFonts w:ascii="Times New Roman" w:hAnsi="Times New Roman" w:hint="eastAsia"/>
        </w:rPr>
        <w:t>配套建设多种新型储能</w:t>
      </w:r>
      <w:bookmarkEnd w:id="304"/>
      <w:bookmarkEnd w:id="305"/>
      <w:bookmarkEnd w:id="306"/>
      <w:bookmarkEnd w:id="307"/>
      <w:bookmarkEnd w:id="308"/>
      <w:bookmarkEnd w:id="309"/>
      <w:bookmarkEnd w:id="310"/>
    </w:p>
    <w:p w14:paraId="2ACDAB5E" w14:textId="77777777" w:rsidR="00A739F2" w:rsidRDefault="00597D48">
      <w:r>
        <w:rPr>
          <w:rFonts w:hint="eastAsia"/>
        </w:rPr>
        <w:t>新能源出力具有随机性、波动性特征，传统运行模式无法为系统提供充足的顶峰容量。可以通过配置一定规模的储能来提供顶峰容量，同时减少弃电。储能规模配置具有边际效应递</w:t>
      </w:r>
      <w:r>
        <w:rPr>
          <w:rFonts w:hint="eastAsia"/>
        </w:rPr>
        <w:lastRenderedPageBreak/>
        <w:t>减的特点，且储能成本现阶段需要与电源一并疏导，因此需要研究合理的储能配置规模。</w:t>
      </w:r>
    </w:p>
    <w:p w14:paraId="2F33F4EA" w14:textId="77777777" w:rsidR="00A739F2" w:rsidRDefault="00597D48">
      <w:r>
        <w:rPr>
          <w:rFonts w:hint="eastAsia"/>
        </w:rPr>
        <w:t>随着储能方案的技术水平更为成熟和经济水平更为合理，在新能源项目中配套储能系统已经成为较为广泛的选择。储能系统能够缓解风电、光伏发电项目在电网端的不稳定性，同时也是增加风电、光伏发电项目二次调频辅助服务能力</w:t>
      </w:r>
      <w:r>
        <w:rPr>
          <w:rFonts w:hint="eastAsia"/>
        </w:rPr>
        <w:t>的新模式探索。</w:t>
      </w:r>
    </w:p>
    <w:p w14:paraId="77477E96" w14:textId="77777777" w:rsidR="00A739F2" w:rsidRDefault="00597D48">
      <w:r>
        <w:rPr>
          <w:rFonts w:hint="eastAsia"/>
        </w:rPr>
        <w:t>增加一定比例的储能系统，能够缓解电网的调峰压力，减少新能源电源</w:t>
      </w:r>
      <w:proofErr w:type="gramStart"/>
      <w:r>
        <w:rPr>
          <w:rFonts w:hint="eastAsia"/>
        </w:rPr>
        <w:t>的弃风和弃光电</w:t>
      </w:r>
      <w:proofErr w:type="gramEnd"/>
      <w:r>
        <w:rPr>
          <w:rFonts w:hint="eastAsia"/>
        </w:rPr>
        <w:t>量，利用储能的充放电特性，能够提高新能源电源的利用效率和经济效益。加入储能系统后，新能源电源具有更为友好的并网特性，能够输出更高质量的电力能源，拥有更高精度的输出预测水平，实现更高效的资源利用。</w:t>
      </w:r>
    </w:p>
    <w:p w14:paraId="0CD02892" w14:textId="77777777" w:rsidR="00A739F2" w:rsidRDefault="00597D48">
      <w:r>
        <w:rPr>
          <w:rFonts w:hint="eastAsia"/>
        </w:rPr>
        <w:t>目前市场上商业成熟度较高的电池类型主要有磷酸铁锂电池、液流电池及铅炭电池等。综合考虑磷酸铁锂电池的安全性、经济性等因素，建议选用该类电池。</w:t>
      </w:r>
    </w:p>
    <w:p w14:paraId="28B1280E" w14:textId="77777777" w:rsidR="00A739F2" w:rsidRDefault="00597D48">
      <w:r>
        <w:rPr>
          <w:rFonts w:hint="eastAsia"/>
        </w:rPr>
        <w:t>从初始投资成本来看，磷酸铁锂电池有较强的竞争力，钠硫电池</w:t>
      </w:r>
      <w:proofErr w:type="gramStart"/>
      <w:r>
        <w:rPr>
          <w:rFonts w:hint="eastAsia"/>
        </w:rPr>
        <w:t>和全钒液流</w:t>
      </w:r>
      <w:proofErr w:type="gramEnd"/>
      <w:r>
        <w:rPr>
          <w:rFonts w:hint="eastAsia"/>
        </w:rPr>
        <w:t>电池未形成产业化，</w:t>
      </w:r>
      <w:r>
        <w:rPr>
          <w:rFonts w:hint="eastAsia"/>
        </w:rPr>
        <w:t>供应渠道受限，较昂贵。从运营和维护成本来看，钠</w:t>
      </w:r>
      <w:proofErr w:type="gramStart"/>
      <w:r>
        <w:rPr>
          <w:rFonts w:hint="eastAsia"/>
        </w:rPr>
        <w:t>硫需要</w:t>
      </w:r>
      <w:proofErr w:type="gramEnd"/>
      <w:r>
        <w:rPr>
          <w:rFonts w:hint="eastAsia"/>
        </w:rPr>
        <w:t>持续供热，</w:t>
      </w:r>
      <w:proofErr w:type="gramStart"/>
      <w:r>
        <w:rPr>
          <w:rFonts w:hint="eastAsia"/>
        </w:rPr>
        <w:t>全钒液流</w:t>
      </w:r>
      <w:proofErr w:type="gramEnd"/>
      <w:r>
        <w:rPr>
          <w:rFonts w:hint="eastAsia"/>
        </w:rPr>
        <w:t>电池需要</w:t>
      </w:r>
      <w:proofErr w:type="gramStart"/>
      <w:r>
        <w:rPr>
          <w:rFonts w:hint="eastAsia"/>
        </w:rPr>
        <w:t>泵进行</w:t>
      </w:r>
      <w:proofErr w:type="gramEnd"/>
      <w:r>
        <w:rPr>
          <w:rFonts w:hint="eastAsia"/>
        </w:rPr>
        <w:t>流体控制，增加了运营成本，而磷酸铁锂电池几乎不</w:t>
      </w:r>
      <w:r>
        <w:rPr>
          <w:rFonts w:hint="eastAsia"/>
        </w:rPr>
        <w:lastRenderedPageBreak/>
        <w:t>需要维护。根据国内外储能电站应用现状和电池特点，建议磷酸铁锂电池作为首选技术路线。</w:t>
      </w:r>
    </w:p>
    <w:p w14:paraId="2F5A71B6" w14:textId="77777777" w:rsidR="00A739F2" w:rsidRDefault="00597D48">
      <w:r>
        <w:rPr>
          <w:rFonts w:hint="eastAsia"/>
        </w:rPr>
        <w:t>除电化学储能外，还可适当配套压缩空气储能、熔盐储能、飞轮储能等新型储能设备，综合不同储能技术在储能时长、储能特性等方面的优势协助电网调峰调频。</w:t>
      </w:r>
    </w:p>
    <w:p w14:paraId="3BC917AD" w14:textId="77777777" w:rsidR="00A739F2" w:rsidRDefault="00597D48">
      <w:pPr>
        <w:pStyle w:val="af6"/>
        <w:numPr>
          <w:ilvl w:val="255"/>
          <w:numId w:val="0"/>
        </w:numPr>
        <w:adjustRightInd w:val="0"/>
        <w:ind w:firstLineChars="200" w:firstLine="640"/>
        <w:rPr>
          <w:rFonts w:ascii="Times New Roman" w:hAnsi="Times New Roman"/>
        </w:rPr>
      </w:pPr>
      <w:bookmarkStart w:id="311" w:name="_Toc131"/>
      <w:bookmarkStart w:id="312" w:name="_Toc4763"/>
      <w:bookmarkStart w:id="313" w:name="_Toc2763"/>
      <w:bookmarkStart w:id="314" w:name="_Toc24450"/>
      <w:bookmarkStart w:id="315" w:name="_Toc14464"/>
      <w:bookmarkStart w:id="316" w:name="_Toc9521"/>
      <w:r>
        <w:rPr>
          <w:rFonts w:ascii="Times New Roman" w:hAnsi="Times New Roman" w:hint="eastAsia"/>
        </w:rPr>
        <w:t>（五）扩大可再生能源非</w:t>
      </w:r>
      <w:proofErr w:type="gramStart"/>
      <w:r>
        <w:rPr>
          <w:rFonts w:ascii="Times New Roman" w:hAnsi="Times New Roman" w:hint="eastAsia"/>
        </w:rPr>
        <w:t>电直接</w:t>
      </w:r>
      <w:proofErr w:type="gramEnd"/>
      <w:r>
        <w:rPr>
          <w:rFonts w:ascii="Times New Roman" w:hAnsi="Times New Roman" w:hint="eastAsia"/>
        </w:rPr>
        <w:t>利用规模</w:t>
      </w:r>
      <w:bookmarkEnd w:id="311"/>
      <w:bookmarkEnd w:id="312"/>
      <w:bookmarkEnd w:id="313"/>
      <w:bookmarkEnd w:id="314"/>
      <w:bookmarkEnd w:id="315"/>
      <w:bookmarkEnd w:id="316"/>
    </w:p>
    <w:p w14:paraId="2C9E2968" w14:textId="77777777" w:rsidR="00A739F2" w:rsidRDefault="00597D48">
      <w:r>
        <w:rPr>
          <w:rFonts w:hint="eastAsia"/>
        </w:rPr>
        <w:t>开展全区地热资源调查工作，统筹做好地热能供暖与国土空间规划、城市规划等的衔接，开展规模化地热能供暖行动。提高热力管网</w:t>
      </w:r>
      <w:r>
        <w:rPr>
          <w:rFonts w:hint="eastAsia"/>
        </w:rPr>
        <w:t>对可再生能源应用的兼容性，推动地热能集中供暖纳入城市供热管网，逐步替代燃煤供暖，分类推进地热能开发利用。</w:t>
      </w:r>
    </w:p>
    <w:p w14:paraId="4AA7414A" w14:textId="77777777" w:rsidR="00A739F2" w:rsidRDefault="00597D48">
      <w:r>
        <w:rPr>
          <w:rFonts w:hint="eastAsia"/>
        </w:rPr>
        <w:t>有序推进中深层地热能开发利用。在</w:t>
      </w:r>
    </w:p>
    <w:p w14:paraId="0D808ACE" w14:textId="77777777" w:rsidR="00A739F2" w:rsidRDefault="00597D48">
      <w:pPr>
        <w:pStyle w:val="af6"/>
        <w:rPr>
          <w:rFonts w:ascii="Times New Roman" w:hAnsi="Times New Roman"/>
        </w:rPr>
      </w:pPr>
      <w:bookmarkStart w:id="317" w:name="_Toc17178"/>
      <w:bookmarkStart w:id="318" w:name="_Toc9275"/>
      <w:bookmarkStart w:id="319" w:name="_Toc25839"/>
      <w:bookmarkStart w:id="320" w:name="_Toc22331"/>
      <w:bookmarkStart w:id="321" w:name="_Toc7644"/>
      <w:bookmarkStart w:id="322" w:name="_Toc20125"/>
      <w:bookmarkStart w:id="323" w:name="_Toc27100"/>
      <w:r>
        <w:rPr>
          <w:rFonts w:ascii="Times New Roman" w:hAnsi="Times New Roman" w:hint="eastAsia"/>
        </w:rPr>
        <w:t>（六）发展综合能源智慧管控系统</w:t>
      </w:r>
      <w:bookmarkEnd w:id="317"/>
      <w:bookmarkEnd w:id="318"/>
      <w:bookmarkEnd w:id="319"/>
      <w:bookmarkEnd w:id="320"/>
      <w:bookmarkEnd w:id="321"/>
      <w:bookmarkEnd w:id="322"/>
      <w:bookmarkEnd w:id="323"/>
    </w:p>
    <w:p w14:paraId="1759A8ED" w14:textId="77777777" w:rsidR="00A739F2" w:rsidRDefault="00597D48">
      <w:r>
        <w:rPr>
          <w:rFonts w:hint="eastAsia"/>
        </w:rPr>
        <w:t>随着新能源规模越来越大，消</w:t>
      </w:r>
      <w:proofErr w:type="gramStart"/>
      <w:r>
        <w:rPr>
          <w:rFonts w:hint="eastAsia"/>
        </w:rPr>
        <w:t>纳要求</w:t>
      </w:r>
      <w:proofErr w:type="gramEnd"/>
      <w:r>
        <w:rPr>
          <w:rFonts w:hint="eastAsia"/>
        </w:rPr>
        <w:t>越来越高，规划建设、并网服务、技术支撑、市场交易等方面的矛盾与不足也愈发突显。在系统层面，应推进</w:t>
      </w:r>
      <w:proofErr w:type="gramStart"/>
      <w:r>
        <w:rPr>
          <w:rFonts w:hint="eastAsia"/>
        </w:rPr>
        <w:t>源端基地</w:t>
      </w:r>
      <w:proofErr w:type="gramEnd"/>
      <w:r>
        <w:rPr>
          <w:rFonts w:hint="eastAsia"/>
        </w:rPr>
        <w:t>及终端消费综合能源系统规划建设，一方面，</w:t>
      </w:r>
      <w:proofErr w:type="gramStart"/>
      <w:r>
        <w:rPr>
          <w:rFonts w:hint="eastAsia"/>
        </w:rPr>
        <w:t>加速源端与</w:t>
      </w:r>
      <w:proofErr w:type="gramEnd"/>
      <w:r>
        <w:rPr>
          <w:rFonts w:hint="eastAsia"/>
        </w:rPr>
        <w:t>负荷中心互联、各级</w:t>
      </w:r>
      <w:proofErr w:type="gramStart"/>
      <w:r>
        <w:rPr>
          <w:rFonts w:hint="eastAsia"/>
        </w:rPr>
        <w:t>能源网</w:t>
      </w:r>
      <w:proofErr w:type="gramEnd"/>
      <w:r>
        <w:rPr>
          <w:rFonts w:hint="eastAsia"/>
        </w:rPr>
        <w:t>互济，为广域时空的可再生能源接入与优化配置提供支撑；另一方面，在终端推动分布式能源、储能的发展应用，提供安全、智能、清洁的综合能源</w:t>
      </w:r>
      <w:r>
        <w:rPr>
          <w:rFonts w:hint="eastAsia"/>
        </w:rPr>
        <w:t>服务，提升可再生能源占比。</w:t>
      </w:r>
    </w:p>
    <w:p w14:paraId="65B24664" w14:textId="77777777" w:rsidR="00A739F2" w:rsidRDefault="00597D48">
      <w:r>
        <w:rPr>
          <w:rFonts w:hint="eastAsia"/>
        </w:rPr>
        <w:lastRenderedPageBreak/>
        <w:t>在康巴什区建设综合能源智慧管控平台，基于物联网、大数据、</w:t>
      </w:r>
      <w:proofErr w:type="gramStart"/>
      <w:r>
        <w:rPr>
          <w:rFonts w:hint="eastAsia"/>
        </w:rPr>
        <w:t>云计算</w:t>
      </w:r>
      <w:proofErr w:type="gramEnd"/>
      <w:r>
        <w:rPr>
          <w:rFonts w:hint="eastAsia"/>
        </w:rPr>
        <w:t>等先进的信息化技术，融合生产运营管理先进控制模式，区域共享</w:t>
      </w:r>
      <w:proofErr w:type="gramStart"/>
      <w:r>
        <w:rPr>
          <w:rFonts w:hint="eastAsia"/>
        </w:rPr>
        <w:t>集中运检管理</w:t>
      </w:r>
      <w:proofErr w:type="gramEnd"/>
      <w:r>
        <w:rPr>
          <w:rFonts w:hint="eastAsia"/>
        </w:rPr>
        <w:t>模式，线上、线下联动，建立基于大数据的具备远程监控诊断、功率分析与预测、资产及备件管理功能的智能运营平台，实现电场资产运营管理的数字化、可视化、透明化和标准化。</w:t>
      </w:r>
    </w:p>
    <w:p w14:paraId="0343504F" w14:textId="77777777" w:rsidR="00A739F2" w:rsidRDefault="00597D48">
      <w:pPr>
        <w:rPr>
          <w:rFonts w:cstheme="minorBidi"/>
        </w:rPr>
      </w:pPr>
      <w:r>
        <w:rPr>
          <w:rFonts w:cstheme="minorBidi" w:hint="eastAsia"/>
        </w:rPr>
        <w:t>推进“平台</w:t>
      </w:r>
      <w:r>
        <w:rPr>
          <w:rFonts w:cstheme="minorBidi" w:hint="eastAsia"/>
        </w:rPr>
        <w:t>+</w:t>
      </w:r>
      <w:r>
        <w:rPr>
          <w:rFonts w:cstheme="minorBidi" w:hint="eastAsia"/>
        </w:rPr>
        <w:t>生态”建设，依托云平台建设打造电力供需预测、消</w:t>
      </w:r>
      <w:proofErr w:type="gramStart"/>
      <w:r>
        <w:rPr>
          <w:rFonts w:cstheme="minorBidi" w:hint="eastAsia"/>
        </w:rPr>
        <w:t>纳能力</w:t>
      </w:r>
      <w:proofErr w:type="gramEnd"/>
      <w:r>
        <w:rPr>
          <w:rFonts w:cstheme="minorBidi" w:hint="eastAsia"/>
        </w:rPr>
        <w:t>计算、新能源大数据分析等子功能模块，为可再生能源设备与厂商管理、规划建设、运行管理等业务环节提供辅助决策支撑。建设新能源数字经</w:t>
      </w:r>
      <w:r>
        <w:rPr>
          <w:rFonts w:cstheme="minorBidi" w:hint="eastAsia"/>
        </w:rPr>
        <w:t>济平台，通过新一代信息技术与新能源业务深度融合，解决新能源高质量发展在并网服务、运行消纳、补贴管理、信息咨询等方面存在的难点和痛点问题，打造新能源生态圈。建立碳排放统一管理平台，实现对园区碳排放情况进行透明化、统一化、动态管理，对比康巴什区碳排放</w:t>
      </w:r>
      <w:proofErr w:type="gramStart"/>
      <w:r>
        <w:rPr>
          <w:rFonts w:cstheme="minorBidi" w:hint="eastAsia"/>
        </w:rPr>
        <w:t>总量及碳抵消</w:t>
      </w:r>
      <w:proofErr w:type="gramEnd"/>
      <w:r>
        <w:rPr>
          <w:rFonts w:cstheme="minorBidi" w:hint="eastAsia"/>
        </w:rPr>
        <w:t>总量，</w:t>
      </w:r>
      <w:proofErr w:type="gramStart"/>
      <w:r>
        <w:rPr>
          <w:rFonts w:cstheme="minorBidi" w:hint="eastAsia"/>
        </w:rPr>
        <w:t>合理将碳中和</w:t>
      </w:r>
      <w:proofErr w:type="gramEnd"/>
      <w:r>
        <w:rPr>
          <w:rFonts w:cstheme="minorBidi" w:hint="eastAsia"/>
        </w:rPr>
        <w:t>指标分解到年，助力康巴什区实现</w:t>
      </w:r>
      <w:r>
        <w:rPr>
          <w:rFonts w:cstheme="minorBidi" w:hint="eastAsia"/>
        </w:rPr>
        <w:t>2027</w:t>
      </w:r>
      <w:r>
        <w:rPr>
          <w:rFonts w:cstheme="minorBidi" w:hint="eastAsia"/>
        </w:rPr>
        <w:t>年建设低碳城市、</w:t>
      </w:r>
      <w:r>
        <w:rPr>
          <w:rFonts w:cstheme="minorBidi" w:hint="eastAsia"/>
        </w:rPr>
        <w:t>2035</w:t>
      </w:r>
      <w:r>
        <w:rPr>
          <w:rFonts w:cstheme="minorBidi" w:hint="eastAsia"/>
        </w:rPr>
        <w:t>年建设</w:t>
      </w:r>
      <w:proofErr w:type="gramStart"/>
      <w:r>
        <w:rPr>
          <w:rFonts w:cstheme="minorBidi" w:hint="eastAsia"/>
        </w:rPr>
        <w:t>零碳城市</w:t>
      </w:r>
      <w:proofErr w:type="gramEnd"/>
      <w:r>
        <w:rPr>
          <w:rFonts w:cstheme="minorBidi" w:hint="eastAsia"/>
        </w:rPr>
        <w:t>的发展目标。</w:t>
      </w:r>
    </w:p>
    <w:p w14:paraId="486CA258" w14:textId="77777777" w:rsidR="00A739F2" w:rsidRDefault="00597D48">
      <w:pPr>
        <w:widowControl/>
        <w:kinsoku w:val="0"/>
        <w:autoSpaceDE w:val="0"/>
        <w:autoSpaceDN w:val="0"/>
        <w:adjustRightInd w:val="0"/>
        <w:spacing w:before="97" w:line="221" w:lineRule="auto"/>
        <w:ind w:left="601" w:firstLineChars="0" w:firstLine="0"/>
        <w:jc w:val="left"/>
        <w:textAlignment w:val="baseline"/>
        <w:outlineLvl w:val="0"/>
        <w:rPr>
          <w:rFonts w:eastAsia="黑体" w:cs="黑体"/>
          <w:snapToGrid w:val="0"/>
          <w:color w:val="000000"/>
          <w:spacing w:val="-2"/>
          <w:kern w:val="0"/>
          <w:szCs w:val="32"/>
        </w:rPr>
      </w:pPr>
      <w:bookmarkStart w:id="324" w:name="_Toc17912"/>
      <w:bookmarkStart w:id="325" w:name="_Toc30850"/>
      <w:bookmarkStart w:id="326" w:name="_Toc30220"/>
      <w:bookmarkStart w:id="327" w:name="_Toc31341"/>
      <w:bookmarkStart w:id="328" w:name="_Toc26797"/>
      <w:bookmarkStart w:id="329" w:name="_Toc10617"/>
      <w:bookmarkStart w:id="330" w:name="_Toc6531"/>
      <w:bookmarkStart w:id="331" w:name="_Toc20175"/>
      <w:r>
        <w:rPr>
          <w:rFonts w:eastAsia="黑体" w:cs="黑体" w:hint="eastAsia"/>
          <w:snapToGrid w:val="0"/>
          <w:color w:val="000000"/>
          <w:spacing w:val="-2"/>
          <w:kern w:val="0"/>
          <w:szCs w:val="32"/>
        </w:rPr>
        <w:t>九、电网接入方案</w:t>
      </w:r>
      <w:bookmarkEnd w:id="324"/>
      <w:bookmarkEnd w:id="325"/>
      <w:bookmarkEnd w:id="326"/>
      <w:bookmarkEnd w:id="327"/>
      <w:bookmarkEnd w:id="328"/>
      <w:bookmarkEnd w:id="329"/>
      <w:bookmarkEnd w:id="330"/>
      <w:bookmarkEnd w:id="331"/>
    </w:p>
    <w:p w14:paraId="0A9CD3EE" w14:textId="77777777" w:rsidR="00A739F2" w:rsidRDefault="00597D48">
      <w:pPr>
        <w:pStyle w:val="af6"/>
        <w:rPr>
          <w:rFonts w:ascii="Times New Roman" w:eastAsia="方正仿宋_GB2312" w:hAnsi="Times New Roman" w:cs="Times New Roman"/>
        </w:rPr>
      </w:pPr>
      <w:bookmarkStart w:id="332" w:name="_Toc18152"/>
      <w:bookmarkStart w:id="333" w:name="_Toc17942"/>
      <w:bookmarkStart w:id="334" w:name="_Toc4503"/>
      <w:bookmarkStart w:id="335" w:name="_Toc14458"/>
      <w:bookmarkStart w:id="336" w:name="_Toc28196"/>
      <w:bookmarkStart w:id="337" w:name="_Toc24840"/>
      <w:bookmarkStart w:id="338" w:name="_Toc15301"/>
      <w:r>
        <w:rPr>
          <w:rFonts w:ascii="Times New Roman" w:hAnsi="Times New Roman" w:hint="eastAsia"/>
        </w:rPr>
        <w:t>（一）电网发展规划</w:t>
      </w:r>
      <w:bookmarkEnd w:id="332"/>
      <w:bookmarkEnd w:id="333"/>
      <w:bookmarkEnd w:id="334"/>
      <w:bookmarkEnd w:id="335"/>
      <w:bookmarkEnd w:id="336"/>
      <w:bookmarkEnd w:id="337"/>
      <w:bookmarkEnd w:id="338"/>
    </w:p>
    <w:p w14:paraId="3D7B004B" w14:textId="77777777" w:rsidR="00A739F2" w:rsidRDefault="00597D48">
      <w:r>
        <w:rPr>
          <w:rFonts w:eastAsia="方正仿宋_GB2312" w:cs="Times New Roman" w:hint="eastAsia"/>
        </w:rPr>
        <w:t>目前，康巴什地区用电负荷由</w:t>
      </w:r>
      <w:r>
        <w:rPr>
          <w:rFonts w:eastAsia="方正仿宋_GB2312" w:cs="Times New Roman" w:hint="eastAsia"/>
        </w:rPr>
        <w:t>220kV</w:t>
      </w:r>
      <w:r>
        <w:rPr>
          <w:rFonts w:eastAsia="方正仿宋_GB2312" w:cs="Times New Roman" w:hint="eastAsia"/>
        </w:rPr>
        <w:t>康巴什变电站、</w:t>
      </w:r>
      <w:r>
        <w:rPr>
          <w:rFonts w:eastAsia="方正仿宋_GB2312" w:cs="Times New Roman" w:hint="eastAsia"/>
        </w:rPr>
        <w:t>220kV</w:t>
      </w:r>
      <w:r>
        <w:rPr>
          <w:rFonts w:eastAsia="方正仿宋_GB2312" w:cs="Times New Roman" w:hint="eastAsia"/>
        </w:rPr>
        <w:lastRenderedPageBreak/>
        <w:t>装备变电站供电，全区</w:t>
      </w:r>
      <w:r>
        <w:rPr>
          <w:rFonts w:hint="eastAsia"/>
        </w:rPr>
        <w:t>110kV</w:t>
      </w:r>
      <w:r>
        <w:rPr>
          <w:rFonts w:hint="eastAsia"/>
        </w:rPr>
        <w:t>变电站共</w:t>
      </w:r>
      <w:r>
        <w:rPr>
          <w:rFonts w:hint="eastAsia"/>
        </w:rPr>
        <w:t>9</w:t>
      </w:r>
      <w:r>
        <w:rPr>
          <w:rFonts w:hint="eastAsia"/>
        </w:rPr>
        <w:t>座，分别为青春山变电站、</w:t>
      </w:r>
      <w:proofErr w:type="gramStart"/>
      <w:r>
        <w:rPr>
          <w:rFonts w:hint="eastAsia"/>
        </w:rPr>
        <w:t>景观河</w:t>
      </w:r>
      <w:proofErr w:type="gramEnd"/>
      <w:r>
        <w:rPr>
          <w:rFonts w:hint="eastAsia"/>
        </w:rPr>
        <w:t>变电站、红海子变电站、</w:t>
      </w:r>
      <w:proofErr w:type="gramStart"/>
      <w:r>
        <w:rPr>
          <w:rFonts w:hint="eastAsia"/>
        </w:rPr>
        <w:t>商混变电站</w:t>
      </w:r>
      <w:proofErr w:type="gramEnd"/>
      <w:r>
        <w:rPr>
          <w:rFonts w:hint="eastAsia"/>
        </w:rPr>
        <w:t>、惠民变电站、寨子塔变电站、北区变电站、杨五</w:t>
      </w:r>
      <w:proofErr w:type="gramStart"/>
      <w:r>
        <w:rPr>
          <w:rFonts w:hint="eastAsia"/>
        </w:rPr>
        <w:t>壕</w:t>
      </w:r>
      <w:proofErr w:type="gramEnd"/>
      <w:r>
        <w:rPr>
          <w:rFonts w:hint="eastAsia"/>
        </w:rPr>
        <w:t>变电站、幸福变电站。</w:t>
      </w:r>
    </w:p>
    <w:p w14:paraId="32C704E1" w14:textId="77777777" w:rsidR="00A739F2" w:rsidRDefault="00597D48">
      <w:r>
        <w:rPr>
          <w:rFonts w:hint="eastAsia"/>
        </w:rPr>
        <w:t>根据电网规划，</w:t>
      </w:r>
      <w:r>
        <w:rPr>
          <w:rFonts w:hint="eastAsia"/>
        </w:rPr>
        <w:t>2024</w:t>
      </w:r>
      <w:r>
        <w:rPr>
          <w:rFonts w:hint="eastAsia"/>
        </w:rPr>
        <w:t>年建成</w:t>
      </w:r>
      <w:r>
        <w:rPr>
          <w:rFonts w:hint="eastAsia"/>
        </w:rPr>
        <w:t>220kV</w:t>
      </w:r>
      <w:r>
        <w:rPr>
          <w:rFonts w:hint="eastAsia"/>
        </w:rPr>
        <w:t>卓越变，主变容量</w:t>
      </w:r>
      <w:r>
        <w:rPr>
          <w:rFonts w:hint="eastAsia"/>
        </w:rPr>
        <w:t>2</w:t>
      </w:r>
      <w:r>
        <w:rPr>
          <w:rFonts w:hint="eastAsia"/>
        </w:rPr>
        <w:t>×</w:t>
      </w:r>
      <w:r>
        <w:rPr>
          <w:rFonts w:hint="eastAsia"/>
        </w:rPr>
        <w:t>240MVA</w:t>
      </w:r>
      <w:r>
        <w:rPr>
          <w:rFonts w:hint="eastAsia"/>
        </w:rPr>
        <w:t>，电压等级为</w:t>
      </w:r>
      <w:r>
        <w:rPr>
          <w:rFonts w:hint="eastAsia"/>
        </w:rPr>
        <w:t>220/110/10kV</w:t>
      </w:r>
      <w:r>
        <w:rPr>
          <w:rFonts w:hint="eastAsia"/>
        </w:rPr>
        <w:t>。拟将布日都～</w:t>
      </w:r>
      <w:proofErr w:type="gramStart"/>
      <w:r>
        <w:rPr>
          <w:rFonts w:hint="eastAsia"/>
        </w:rPr>
        <w:t>掌岗图双</w:t>
      </w:r>
      <w:proofErr w:type="gramEnd"/>
      <w:r>
        <w:rPr>
          <w:rFonts w:hint="eastAsia"/>
        </w:rPr>
        <w:t>回</w:t>
      </w:r>
      <w:r>
        <w:rPr>
          <w:rFonts w:hint="eastAsia"/>
        </w:rPr>
        <w:t>220kV</w:t>
      </w:r>
      <w:r>
        <w:rPr>
          <w:rFonts w:hint="eastAsia"/>
        </w:rPr>
        <w:t>线路开断接入卓越变。卓越</w:t>
      </w:r>
      <w:proofErr w:type="gramStart"/>
      <w:r>
        <w:rPr>
          <w:rFonts w:hint="eastAsia"/>
        </w:rPr>
        <w:t>变建成</w:t>
      </w:r>
      <w:proofErr w:type="gramEnd"/>
      <w:r>
        <w:rPr>
          <w:rFonts w:hint="eastAsia"/>
        </w:rPr>
        <w:t>后其供电区域将覆盖康巴什北部地区，同时为进一步优化地区</w:t>
      </w:r>
      <w:r>
        <w:rPr>
          <w:rFonts w:hint="eastAsia"/>
        </w:rPr>
        <w:t>110kV</w:t>
      </w:r>
      <w:r>
        <w:rPr>
          <w:rFonts w:hint="eastAsia"/>
        </w:rPr>
        <w:t>供电网络，提高负荷供电质量，考虑将目前由康巴什变</w:t>
      </w:r>
      <w:r>
        <w:rPr>
          <w:rFonts w:hint="eastAsia"/>
        </w:rPr>
        <w:t>、装备</w:t>
      </w:r>
      <w:proofErr w:type="gramStart"/>
      <w:r>
        <w:rPr>
          <w:rFonts w:hint="eastAsia"/>
        </w:rPr>
        <w:t>变接带</w:t>
      </w:r>
      <w:proofErr w:type="gramEnd"/>
      <w:r>
        <w:rPr>
          <w:rFonts w:hint="eastAsia"/>
        </w:rPr>
        <w:t>的寨子塔变、惠民变、幸福变以及北区变、红海子变、</w:t>
      </w:r>
      <w:proofErr w:type="gramStart"/>
      <w:r>
        <w:rPr>
          <w:rFonts w:hint="eastAsia"/>
        </w:rPr>
        <w:t>天隆变的</w:t>
      </w:r>
      <w:proofErr w:type="gramEnd"/>
      <w:r>
        <w:rPr>
          <w:rFonts w:hint="eastAsia"/>
        </w:rPr>
        <w:t>串联供电网络形式优化为通过新建</w:t>
      </w:r>
      <w:r>
        <w:rPr>
          <w:rFonts w:hint="eastAsia"/>
        </w:rPr>
        <w:t>5</w:t>
      </w:r>
      <w:r>
        <w:rPr>
          <w:rFonts w:hint="eastAsia"/>
        </w:rPr>
        <w:t>回</w:t>
      </w:r>
      <w:r>
        <w:rPr>
          <w:rFonts w:hint="eastAsia"/>
        </w:rPr>
        <w:t>110kV</w:t>
      </w:r>
      <w:r>
        <w:rPr>
          <w:rFonts w:hint="eastAsia"/>
        </w:rPr>
        <w:t>线路，形成卓越变至北区变、红海子变、惠民变、寨子塔变、幸福变供电网络结构，结合</w:t>
      </w:r>
      <w:proofErr w:type="gramStart"/>
      <w:r>
        <w:rPr>
          <w:rFonts w:hint="eastAsia"/>
        </w:rPr>
        <w:t>由掌岗图变</w:t>
      </w:r>
      <w:proofErr w:type="gramEnd"/>
      <w:r>
        <w:rPr>
          <w:rFonts w:hint="eastAsia"/>
        </w:rPr>
        <w:t>新建</w:t>
      </w:r>
      <w:r>
        <w:rPr>
          <w:rFonts w:hint="eastAsia"/>
        </w:rPr>
        <w:t>2</w:t>
      </w:r>
      <w:r>
        <w:rPr>
          <w:rFonts w:hint="eastAsia"/>
        </w:rPr>
        <w:t>回</w:t>
      </w:r>
      <w:r>
        <w:rPr>
          <w:rFonts w:hint="eastAsia"/>
        </w:rPr>
        <w:t>110kV</w:t>
      </w:r>
      <w:r>
        <w:rPr>
          <w:rFonts w:hint="eastAsia"/>
        </w:rPr>
        <w:t>线路，</w:t>
      </w:r>
      <w:proofErr w:type="gramStart"/>
      <w:r>
        <w:rPr>
          <w:rFonts w:hint="eastAsia"/>
        </w:rPr>
        <w:t>形成掌岗图变</w:t>
      </w:r>
      <w:proofErr w:type="gramEnd"/>
      <w:r>
        <w:rPr>
          <w:rFonts w:hint="eastAsia"/>
        </w:rPr>
        <w:t>至天隆变、红海子变供电网络结构，打造康巴什</w:t>
      </w:r>
      <w:r>
        <w:rPr>
          <w:rFonts w:hint="eastAsia"/>
        </w:rPr>
        <w:t>B</w:t>
      </w:r>
      <w:r>
        <w:rPr>
          <w:rFonts w:hint="eastAsia"/>
        </w:rPr>
        <w:t>类供电区域可靠的单链式结构，进一步提高康巴什城区可靠性。</w:t>
      </w:r>
    </w:p>
    <w:p w14:paraId="1812F818" w14:textId="77777777" w:rsidR="00A739F2" w:rsidRDefault="00597D48">
      <w:pPr>
        <w:pStyle w:val="af6"/>
        <w:rPr>
          <w:rFonts w:ascii="Times New Roman" w:hAnsi="Times New Roman"/>
        </w:rPr>
      </w:pPr>
      <w:bookmarkStart w:id="339" w:name="_Toc13113"/>
      <w:bookmarkStart w:id="340" w:name="_Toc28246"/>
      <w:bookmarkStart w:id="341" w:name="_Toc31758"/>
      <w:bookmarkStart w:id="342" w:name="_Toc25114"/>
      <w:bookmarkStart w:id="343" w:name="_Toc25083"/>
      <w:bookmarkStart w:id="344" w:name="_Toc1643"/>
      <w:r>
        <w:rPr>
          <w:rFonts w:ascii="Times New Roman" w:hAnsi="Times New Roman"/>
        </w:rPr>
        <w:t>（二）</w:t>
      </w:r>
      <w:r>
        <w:rPr>
          <w:rFonts w:ascii="Times New Roman" w:hAnsi="Times New Roman" w:hint="eastAsia"/>
        </w:rPr>
        <w:t>可接入变电站分析</w:t>
      </w:r>
      <w:bookmarkEnd w:id="339"/>
      <w:bookmarkEnd w:id="340"/>
      <w:bookmarkEnd w:id="341"/>
      <w:bookmarkEnd w:id="342"/>
      <w:bookmarkEnd w:id="343"/>
      <w:bookmarkEnd w:id="344"/>
    </w:p>
    <w:p w14:paraId="2AC467B8" w14:textId="77777777" w:rsidR="00A739F2" w:rsidRDefault="00597D48">
      <w:pPr>
        <w:rPr>
          <w:szCs w:val="24"/>
        </w:rPr>
      </w:pPr>
      <w:r>
        <w:rPr>
          <w:rFonts w:hint="eastAsia"/>
          <w:szCs w:val="24"/>
        </w:rPr>
        <w:t>（</w:t>
      </w:r>
      <w:r>
        <w:rPr>
          <w:rFonts w:hint="eastAsia"/>
          <w:szCs w:val="24"/>
        </w:rPr>
        <w:t>1</w:t>
      </w:r>
      <w:r>
        <w:rPr>
          <w:rFonts w:hint="eastAsia"/>
          <w:szCs w:val="24"/>
        </w:rPr>
        <w:t>）康巴什变电站</w:t>
      </w:r>
    </w:p>
    <w:p w14:paraId="4BCBBDC2" w14:textId="77777777" w:rsidR="00A739F2" w:rsidRDefault="00597D48">
      <w:pPr>
        <w:rPr>
          <w:szCs w:val="24"/>
        </w:rPr>
      </w:pPr>
      <w:r>
        <w:rPr>
          <w:rFonts w:hint="eastAsia"/>
          <w:szCs w:val="24"/>
        </w:rPr>
        <w:t>位于伊金霍洛旗，紧邻康巴什区南部。规划</w:t>
      </w:r>
      <w:r>
        <w:rPr>
          <w:rFonts w:hint="eastAsia"/>
          <w:szCs w:val="24"/>
        </w:rPr>
        <w:t>3</w:t>
      </w:r>
      <w:r>
        <w:rPr>
          <w:rFonts w:hint="eastAsia"/>
          <w:szCs w:val="24"/>
        </w:rPr>
        <w:t>×</w:t>
      </w:r>
      <w:r>
        <w:rPr>
          <w:rFonts w:hint="eastAsia"/>
          <w:szCs w:val="24"/>
        </w:rPr>
        <w:t>180MVA</w:t>
      </w:r>
      <w:r>
        <w:rPr>
          <w:rFonts w:hint="eastAsia"/>
          <w:szCs w:val="24"/>
        </w:rPr>
        <w:t>主变，已全部建成投产，最大负荷约</w:t>
      </w:r>
      <w:r>
        <w:rPr>
          <w:rFonts w:hint="eastAsia"/>
          <w:szCs w:val="24"/>
        </w:rPr>
        <w:t>30</w:t>
      </w:r>
      <w:r>
        <w:rPr>
          <w:rFonts w:hint="eastAsia"/>
          <w:szCs w:val="24"/>
        </w:rPr>
        <w:t>万千瓦。</w:t>
      </w:r>
      <w:r>
        <w:rPr>
          <w:rFonts w:hint="eastAsia"/>
          <w:szCs w:val="24"/>
        </w:rPr>
        <w:t>220kV</w:t>
      </w:r>
      <w:r>
        <w:rPr>
          <w:rFonts w:hint="eastAsia"/>
          <w:szCs w:val="24"/>
        </w:rPr>
        <w:t>规划出线</w:t>
      </w:r>
      <w:r>
        <w:rPr>
          <w:rFonts w:hint="eastAsia"/>
          <w:szCs w:val="24"/>
        </w:rPr>
        <w:t>12</w:t>
      </w:r>
      <w:r>
        <w:rPr>
          <w:rFonts w:hint="eastAsia"/>
          <w:szCs w:val="24"/>
        </w:rPr>
        <w:t>回，站内设</w:t>
      </w:r>
      <w:r>
        <w:rPr>
          <w:rFonts w:hint="eastAsia"/>
          <w:szCs w:val="24"/>
        </w:rPr>
        <w:t>备已全部建成，现有出线</w:t>
      </w:r>
      <w:r>
        <w:rPr>
          <w:rFonts w:hint="eastAsia"/>
          <w:szCs w:val="24"/>
        </w:rPr>
        <w:t>8</w:t>
      </w:r>
      <w:r>
        <w:rPr>
          <w:rFonts w:hint="eastAsia"/>
          <w:szCs w:val="24"/>
        </w:rPr>
        <w:t>回，分别至布日都</w:t>
      </w:r>
      <w:r>
        <w:rPr>
          <w:rFonts w:hint="eastAsia"/>
          <w:szCs w:val="24"/>
        </w:rPr>
        <w:t>2</w:t>
      </w:r>
      <w:r>
        <w:rPr>
          <w:rFonts w:hint="eastAsia"/>
          <w:szCs w:val="24"/>
        </w:rPr>
        <w:t>回、康巴什热电</w:t>
      </w:r>
      <w:r>
        <w:rPr>
          <w:rFonts w:hint="eastAsia"/>
          <w:szCs w:val="24"/>
        </w:rPr>
        <w:t>2</w:t>
      </w:r>
      <w:r>
        <w:rPr>
          <w:rFonts w:hint="eastAsia"/>
          <w:szCs w:val="24"/>
        </w:rPr>
        <w:t>回、康铁</w:t>
      </w:r>
      <w:proofErr w:type="gramStart"/>
      <w:r>
        <w:rPr>
          <w:rFonts w:hint="eastAsia"/>
          <w:szCs w:val="24"/>
        </w:rPr>
        <w:t>牵引站</w:t>
      </w:r>
      <w:proofErr w:type="gramEnd"/>
      <w:r>
        <w:rPr>
          <w:rFonts w:hint="eastAsia"/>
          <w:szCs w:val="24"/>
        </w:rPr>
        <w:t>2</w:t>
      </w:r>
      <w:r>
        <w:rPr>
          <w:rFonts w:hint="eastAsia"/>
          <w:szCs w:val="24"/>
        </w:rPr>
        <w:t>回，分别至乌兰木兰站、</w:t>
      </w:r>
      <w:proofErr w:type="gramStart"/>
      <w:r>
        <w:rPr>
          <w:rFonts w:hint="eastAsia"/>
          <w:szCs w:val="24"/>
        </w:rPr>
        <w:lastRenderedPageBreak/>
        <w:t>白音提布</w:t>
      </w:r>
      <w:proofErr w:type="gramEnd"/>
      <w:r>
        <w:rPr>
          <w:rFonts w:hint="eastAsia"/>
          <w:szCs w:val="24"/>
        </w:rPr>
        <w:t>光伏电站各</w:t>
      </w:r>
      <w:r>
        <w:rPr>
          <w:rFonts w:hint="eastAsia"/>
          <w:szCs w:val="24"/>
        </w:rPr>
        <w:t>1</w:t>
      </w:r>
      <w:r>
        <w:rPr>
          <w:rFonts w:hint="eastAsia"/>
          <w:szCs w:val="24"/>
        </w:rPr>
        <w:t>回，尚有</w:t>
      </w:r>
      <w:r>
        <w:rPr>
          <w:rFonts w:hint="eastAsia"/>
          <w:szCs w:val="24"/>
        </w:rPr>
        <w:t>4</w:t>
      </w:r>
      <w:r>
        <w:rPr>
          <w:rFonts w:hint="eastAsia"/>
          <w:szCs w:val="24"/>
        </w:rPr>
        <w:t>个</w:t>
      </w:r>
      <w:r>
        <w:rPr>
          <w:rFonts w:hint="eastAsia"/>
          <w:szCs w:val="24"/>
        </w:rPr>
        <w:t>220kV</w:t>
      </w:r>
      <w:r>
        <w:rPr>
          <w:rFonts w:hint="eastAsia"/>
          <w:szCs w:val="24"/>
        </w:rPr>
        <w:t>备用出线间隔位置。</w:t>
      </w:r>
    </w:p>
    <w:p w14:paraId="623B92FE" w14:textId="77777777" w:rsidR="00A739F2" w:rsidRDefault="00597D48">
      <w:pPr>
        <w:rPr>
          <w:szCs w:val="24"/>
        </w:rPr>
      </w:pPr>
      <w:r>
        <w:rPr>
          <w:rFonts w:hint="eastAsia"/>
          <w:szCs w:val="24"/>
        </w:rPr>
        <w:t>（</w:t>
      </w:r>
      <w:r>
        <w:rPr>
          <w:rFonts w:hint="eastAsia"/>
          <w:szCs w:val="24"/>
        </w:rPr>
        <w:t>2</w:t>
      </w:r>
      <w:r>
        <w:rPr>
          <w:rFonts w:hint="eastAsia"/>
          <w:szCs w:val="24"/>
        </w:rPr>
        <w:t>）卓越变电站</w:t>
      </w:r>
    </w:p>
    <w:p w14:paraId="2282FA1C" w14:textId="77777777" w:rsidR="00A739F2" w:rsidRDefault="00597D48">
      <w:pPr>
        <w:rPr>
          <w:szCs w:val="24"/>
        </w:rPr>
      </w:pPr>
      <w:r>
        <w:rPr>
          <w:rFonts w:hint="eastAsia"/>
          <w:szCs w:val="24"/>
        </w:rPr>
        <w:t>位于康巴什区北部。变电站为规划变电站，规划</w:t>
      </w:r>
      <w:r>
        <w:rPr>
          <w:rFonts w:hint="eastAsia"/>
          <w:szCs w:val="24"/>
        </w:rPr>
        <w:t>3</w:t>
      </w:r>
      <w:r>
        <w:rPr>
          <w:rFonts w:hint="eastAsia"/>
          <w:szCs w:val="24"/>
        </w:rPr>
        <w:t>×</w:t>
      </w:r>
      <w:r>
        <w:rPr>
          <w:rFonts w:hint="eastAsia"/>
          <w:szCs w:val="24"/>
        </w:rPr>
        <w:t>240MVA</w:t>
      </w:r>
      <w:r>
        <w:rPr>
          <w:rFonts w:hint="eastAsia"/>
          <w:szCs w:val="24"/>
        </w:rPr>
        <w:t>主变，一期建设</w:t>
      </w:r>
      <w:r>
        <w:rPr>
          <w:rFonts w:hint="eastAsia"/>
          <w:szCs w:val="24"/>
        </w:rPr>
        <w:t>2</w:t>
      </w:r>
      <w:r>
        <w:rPr>
          <w:rFonts w:hint="eastAsia"/>
          <w:szCs w:val="24"/>
        </w:rPr>
        <w:t>台主变，投运后预计最大负荷约</w:t>
      </w:r>
      <w:r>
        <w:rPr>
          <w:rFonts w:hint="eastAsia"/>
          <w:szCs w:val="24"/>
        </w:rPr>
        <w:t>15</w:t>
      </w:r>
      <w:r>
        <w:rPr>
          <w:rFonts w:hint="eastAsia"/>
          <w:szCs w:val="24"/>
        </w:rPr>
        <w:t>万千瓦。</w:t>
      </w:r>
      <w:r>
        <w:rPr>
          <w:rFonts w:hint="eastAsia"/>
          <w:szCs w:val="24"/>
        </w:rPr>
        <w:t>220kV</w:t>
      </w:r>
      <w:r>
        <w:rPr>
          <w:rFonts w:hint="eastAsia"/>
          <w:szCs w:val="24"/>
        </w:rPr>
        <w:t>规划出线</w:t>
      </w:r>
      <w:r>
        <w:rPr>
          <w:rFonts w:hint="eastAsia"/>
          <w:szCs w:val="24"/>
        </w:rPr>
        <w:t>8</w:t>
      </w:r>
      <w:r>
        <w:rPr>
          <w:rFonts w:hint="eastAsia"/>
          <w:szCs w:val="24"/>
        </w:rPr>
        <w:t>回，一期出线</w:t>
      </w:r>
      <w:r>
        <w:rPr>
          <w:rFonts w:hint="eastAsia"/>
          <w:szCs w:val="24"/>
        </w:rPr>
        <w:t>4</w:t>
      </w:r>
      <w:r>
        <w:rPr>
          <w:rFonts w:hint="eastAsia"/>
          <w:szCs w:val="24"/>
        </w:rPr>
        <w:t>回，分别至布日都、</w:t>
      </w:r>
      <w:proofErr w:type="gramStart"/>
      <w:r>
        <w:rPr>
          <w:rFonts w:hint="eastAsia"/>
          <w:szCs w:val="24"/>
        </w:rPr>
        <w:t>掌岗图</w:t>
      </w:r>
      <w:proofErr w:type="gramEnd"/>
      <w:r>
        <w:rPr>
          <w:rFonts w:hint="eastAsia"/>
          <w:szCs w:val="24"/>
        </w:rPr>
        <w:t>各</w:t>
      </w:r>
      <w:r>
        <w:rPr>
          <w:rFonts w:hint="eastAsia"/>
          <w:szCs w:val="24"/>
        </w:rPr>
        <w:t>2</w:t>
      </w:r>
      <w:r>
        <w:rPr>
          <w:rFonts w:hint="eastAsia"/>
          <w:szCs w:val="24"/>
        </w:rPr>
        <w:t>回，尚有</w:t>
      </w:r>
      <w:r>
        <w:rPr>
          <w:rFonts w:hint="eastAsia"/>
          <w:szCs w:val="24"/>
        </w:rPr>
        <w:t>4</w:t>
      </w:r>
      <w:r>
        <w:rPr>
          <w:rFonts w:hint="eastAsia"/>
          <w:szCs w:val="24"/>
        </w:rPr>
        <w:t>个</w:t>
      </w:r>
      <w:r>
        <w:rPr>
          <w:rFonts w:hint="eastAsia"/>
          <w:szCs w:val="24"/>
        </w:rPr>
        <w:t>220kV</w:t>
      </w:r>
      <w:r>
        <w:rPr>
          <w:rFonts w:hint="eastAsia"/>
          <w:szCs w:val="24"/>
        </w:rPr>
        <w:t>备用出线间隔位置。</w:t>
      </w:r>
      <w:r>
        <w:rPr>
          <w:rFonts w:hint="eastAsia"/>
          <w:szCs w:val="24"/>
        </w:rPr>
        <w:t>110kV</w:t>
      </w:r>
      <w:r>
        <w:rPr>
          <w:rFonts w:hint="eastAsia"/>
          <w:szCs w:val="24"/>
        </w:rPr>
        <w:t>规划出线</w:t>
      </w:r>
      <w:r>
        <w:rPr>
          <w:rFonts w:hint="eastAsia"/>
          <w:szCs w:val="24"/>
        </w:rPr>
        <w:t>16</w:t>
      </w:r>
      <w:r>
        <w:rPr>
          <w:rFonts w:hint="eastAsia"/>
          <w:szCs w:val="24"/>
        </w:rPr>
        <w:t>回，一期建设</w:t>
      </w:r>
      <w:r>
        <w:rPr>
          <w:rFonts w:hint="eastAsia"/>
          <w:szCs w:val="24"/>
        </w:rPr>
        <w:t>8</w:t>
      </w:r>
      <w:r>
        <w:rPr>
          <w:rFonts w:hint="eastAsia"/>
          <w:szCs w:val="24"/>
        </w:rPr>
        <w:t>个出线间隔。</w:t>
      </w:r>
    </w:p>
    <w:p w14:paraId="15C1C3DD" w14:textId="77777777" w:rsidR="00A739F2" w:rsidRDefault="00597D48">
      <w:pPr>
        <w:rPr>
          <w:szCs w:val="24"/>
        </w:rPr>
      </w:pPr>
      <w:r>
        <w:rPr>
          <w:rFonts w:hint="eastAsia"/>
          <w:szCs w:val="24"/>
        </w:rPr>
        <w:t>（</w:t>
      </w:r>
      <w:r>
        <w:rPr>
          <w:rFonts w:hint="eastAsia"/>
          <w:szCs w:val="24"/>
        </w:rPr>
        <w:t>3</w:t>
      </w:r>
      <w:r>
        <w:rPr>
          <w:rFonts w:hint="eastAsia"/>
          <w:szCs w:val="24"/>
        </w:rPr>
        <w:t>）</w:t>
      </w:r>
      <w:r>
        <w:rPr>
          <w:szCs w:val="24"/>
        </w:rPr>
        <w:t>布日都</w:t>
      </w:r>
      <w:r>
        <w:rPr>
          <w:rFonts w:hint="eastAsia"/>
          <w:szCs w:val="24"/>
        </w:rPr>
        <w:t>变电站</w:t>
      </w:r>
    </w:p>
    <w:p w14:paraId="4583B7E5" w14:textId="77777777" w:rsidR="00A739F2" w:rsidRDefault="00597D48">
      <w:pPr>
        <w:rPr>
          <w:szCs w:val="24"/>
        </w:rPr>
      </w:pPr>
      <w:r>
        <w:rPr>
          <w:szCs w:val="24"/>
        </w:rPr>
        <w:t>位于</w:t>
      </w:r>
      <w:r>
        <w:rPr>
          <w:rFonts w:hint="eastAsia"/>
          <w:szCs w:val="24"/>
        </w:rPr>
        <w:t>东胜区境内，紧邻康巴什区北缘。</w:t>
      </w:r>
      <w:r>
        <w:rPr>
          <w:szCs w:val="24"/>
        </w:rPr>
        <w:t>规划</w:t>
      </w:r>
      <w:r>
        <w:rPr>
          <w:szCs w:val="24"/>
        </w:rPr>
        <w:t>3×750M</w:t>
      </w:r>
      <w:r>
        <w:rPr>
          <w:szCs w:val="24"/>
        </w:rPr>
        <w:t>VA</w:t>
      </w:r>
      <w:r>
        <w:rPr>
          <w:szCs w:val="24"/>
        </w:rPr>
        <w:t>主变，已全部建成投产。</w:t>
      </w:r>
      <w:r>
        <w:rPr>
          <w:rFonts w:hint="eastAsia"/>
          <w:szCs w:val="24"/>
        </w:rPr>
        <w:t>500kV</w:t>
      </w:r>
      <w:proofErr w:type="gramStart"/>
      <w:r>
        <w:rPr>
          <w:rFonts w:hint="eastAsia"/>
          <w:szCs w:val="24"/>
        </w:rPr>
        <w:t>侧采用</w:t>
      </w:r>
      <w:proofErr w:type="gramEnd"/>
      <w:r>
        <w:rPr>
          <w:rFonts w:hint="eastAsia"/>
          <w:szCs w:val="24"/>
        </w:rPr>
        <w:t>一个半断路器接线，规划出线</w:t>
      </w:r>
      <w:r>
        <w:rPr>
          <w:rFonts w:hint="eastAsia"/>
          <w:szCs w:val="24"/>
        </w:rPr>
        <w:t>11</w:t>
      </w:r>
      <w:r>
        <w:rPr>
          <w:rFonts w:hint="eastAsia"/>
          <w:szCs w:val="24"/>
        </w:rPr>
        <w:t>回，现有出线</w:t>
      </w:r>
      <w:r>
        <w:rPr>
          <w:rFonts w:hint="eastAsia"/>
          <w:szCs w:val="24"/>
        </w:rPr>
        <w:t>9</w:t>
      </w:r>
      <w:r>
        <w:rPr>
          <w:rFonts w:hint="eastAsia"/>
          <w:szCs w:val="24"/>
        </w:rPr>
        <w:t>回，分别至乌海、响沙湾、甘迪尔、蒙泰热电二期各</w:t>
      </w:r>
      <w:r>
        <w:rPr>
          <w:rFonts w:hint="eastAsia"/>
          <w:szCs w:val="24"/>
        </w:rPr>
        <w:t>2</w:t>
      </w:r>
      <w:r>
        <w:rPr>
          <w:rFonts w:hint="eastAsia"/>
          <w:szCs w:val="24"/>
        </w:rPr>
        <w:t>回，</w:t>
      </w:r>
      <w:proofErr w:type="gramStart"/>
      <w:r>
        <w:rPr>
          <w:rFonts w:hint="eastAsia"/>
          <w:szCs w:val="24"/>
        </w:rPr>
        <w:t>至杭锦</w:t>
      </w:r>
      <w:proofErr w:type="gramEnd"/>
      <w:r>
        <w:rPr>
          <w:rFonts w:hint="eastAsia"/>
          <w:szCs w:val="24"/>
        </w:rPr>
        <w:t>煤矸石电厂</w:t>
      </w:r>
      <w:r>
        <w:rPr>
          <w:rFonts w:hint="eastAsia"/>
          <w:szCs w:val="24"/>
        </w:rPr>
        <w:t>1</w:t>
      </w:r>
      <w:r>
        <w:rPr>
          <w:rFonts w:hint="eastAsia"/>
          <w:szCs w:val="24"/>
        </w:rPr>
        <w:t>回，尚有</w:t>
      </w:r>
      <w:r>
        <w:rPr>
          <w:rFonts w:hint="eastAsia"/>
          <w:szCs w:val="24"/>
        </w:rPr>
        <w:t>2</w:t>
      </w:r>
      <w:r>
        <w:rPr>
          <w:rFonts w:hint="eastAsia"/>
          <w:szCs w:val="24"/>
        </w:rPr>
        <w:t>个</w:t>
      </w:r>
      <w:r>
        <w:rPr>
          <w:rFonts w:hint="eastAsia"/>
          <w:szCs w:val="24"/>
        </w:rPr>
        <w:t>500kV</w:t>
      </w:r>
      <w:r>
        <w:rPr>
          <w:rFonts w:hint="eastAsia"/>
          <w:szCs w:val="24"/>
        </w:rPr>
        <w:t>备用出线间隔位置。</w:t>
      </w:r>
      <w:r>
        <w:rPr>
          <w:szCs w:val="24"/>
        </w:rPr>
        <w:t>220kV</w:t>
      </w:r>
      <w:r>
        <w:rPr>
          <w:rFonts w:hint="eastAsia"/>
          <w:szCs w:val="24"/>
        </w:rPr>
        <w:t>规划</w:t>
      </w:r>
      <w:r>
        <w:rPr>
          <w:szCs w:val="24"/>
        </w:rPr>
        <w:t>出线</w:t>
      </w:r>
      <w:r>
        <w:rPr>
          <w:szCs w:val="24"/>
        </w:rPr>
        <w:t>16</w:t>
      </w:r>
      <w:r>
        <w:rPr>
          <w:szCs w:val="24"/>
        </w:rPr>
        <w:t>回，</w:t>
      </w:r>
      <w:r>
        <w:rPr>
          <w:rFonts w:hint="eastAsia"/>
          <w:szCs w:val="24"/>
        </w:rPr>
        <w:t>现有出线</w:t>
      </w:r>
      <w:r>
        <w:rPr>
          <w:rFonts w:hint="eastAsia"/>
          <w:szCs w:val="24"/>
        </w:rPr>
        <w:t>16</w:t>
      </w:r>
      <w:r>
        <w:rPr>
          <w:rFonts w:hint="eastAsia"/>
          <w:szCs w:val="24"/>
        </w:rPr>
        <w:t>回，站址周边空间受限，</w:t>
      </w:r>
      <w:r>
        <w:rPr>
          <w:rFonts w:hint="eastAsia"/>
          <w:szCs w:val="24"/>
        </w:rPr>
        <w:t>220kV</w:t>
      </w:r>
      <w:r>
        <w:rPr>
          <w:rFonts w:hint="eastAsia"/>
          <w:szCs w:val="24"/>
        </w:rPr>
        <w:t>侧不具备扩建条件</w:t>
      </w:r>
      <w:r>
        <w:rPr>
          <w:szCs w:val="24"/>
        </w:rPr>
        <w:t>。</w:t>
      </w:r>
    </w:p>
    <w:p w14:paraId="6932B863" w14:textId="77777777" w:rsidR="00A739F2" w:rsidRDefault="00597D48">
      <w:pPr>
        <w:rPr>
          <w:szCs w:val="24"/>
        </w:rPr>
      </w:pPr>
      <w:r>
        <w:rPr>
          <w:rFonts w:hint="eastAsia"/>
          <w:szCs w:val="24"/>
        </w:rPr>
        <w:t>（</w:t>
      </w:r>
      <w:r>
        <w:rPr>
          <w:rFonts w:hint="eastAsia"/>
          <w:szCs w:val="24"/>
        </w:rPr>
        <w:t>4</w:t>
      </w:r>
      <w:r>
        <w:rPr>
          <w:rFonts w:hint="eastAsia"/>
          <w:szCs w:val="24"/>
        </w:rPr>
        <w:t>）装备变电站</w:t>
      </w:r>
    </w:p>
    <w:p w14:paraId="59D892E4" w14:textId="77777777" w:rsidR="00A739F2" w:rsidRDefault="00597D48">
      <w:pPr>
        <w:rPr>
          <w:rFonts w:cs="Times New Roman"/>
        </w:rPr>
      </w:pPr>
      <w:r>
        <w:rPr>
          <w:szCs w:val="24"/>
        </w:rPr>
        <w:t>位于</w:t>
      </w:r>
      <w:r>
        <w:rPr>
          <w:rFonts w:hint="eastAsia"/>
          <w:szCs w:val="24"/>
        </w:rPr>
        <w:t>高新技术产业园装备产业园区内，紧邻康巴什区北缘。</w:t>
      </w:r>
      <w:r>
        <w:rPr>
          <w:szCs w:val="24"/>
        </w:rPr>
        <w:t>规划</w:t>
      </w:r>
      <w:r>
        <w:rPr>
          <w:szCs w:val="24"/>
        </w:rPr>
        <w:t>3×</w:t>
      </w:r>
      <w:r>
        <w:rPr>
          <w:rFonts w:hint="eastAsia"/>
          <w:szCs w:val="24"/>
        </w:rPr>
        <w:t>18</w:t>
      </w:r>
      <w:r>
        <w:rPr>
          <w:szCs w:val="24"/>
        </w:rPr>
        <w:t>0MVA</w:t>
      </w:r>
      <w:r>
        <w:rPr>
          <w:szCs w:val="24"/>
        </w:rPr>
        <w:t>主变，已建成投产</w:t>
      </w:r>
      <w:r>
        <w:rPr>
          <w:rFonts w:hint="eastAsia"/>
          <w:szCs w:val="24"/>
        </w:rPr>
        <w:t>2</w:t>
      </w:r>
      <w:r>
        <w:rPr>
          <w:szCs w:val="24"/>
        </w:rPr>
        <w:t>×</w:t>
      </w:r>
      <w:r>
        <w:rPr>
          <w:rFonts w:hint="eastAsia"/>
          <w:szCs w:val="24"/>
        </w:rPr>
        <w:t>18</w:t>
      </w:r>
      <w:r>
        <w:rPr>
          <w:szCs w:val="24"/>
        </w:rPr>
        <w:t>0MVA</w:t>
      </w:r>
      <w:r>
        <w:rPr>
          <w:szCs w:val="24"/>
        </w:rPr>
        <w:t>主变</w:t>
      </w:r>
      <w:r>
        <w:rPr>
          <w:rFonts w:hint="eastAsia"/>
          <w:szCs w:val="24"/>
        </w:rPr>
        <w:t>，最大负荷约</w:t>
      </w:r>
      <w:r>
        <w:rPr>
          <w:rFonts w:hint="eastAsia"/>
          <w:szCs w:val="24"/>
        </w:rPr>
        <w:t>18</w:t>
      </w:r>
      <w:r>
        <w:rPr>
          <w:rFonts w:hint="eastAsia"/>
          <w:szCs w:val="24"/>
        </w:rPr>
        <w:t>万千瓦</w:t>
      </w:r>
      <w:r>
        <w:rPr>
          <w:szCs w:val="24"/>
        </w:rPr>
        <w:t>。</w:t>
      </w:r>
      <w:r>
        <w:rPr>
          <w:szCs w:val="24"/>
        </w:rPr>
        <w:t>220kV</w:t>
      </w:r>
      <w:r>
        <w:rPr>
          <w:rFonts w:hint="eastAsia"/>
          <w:szCs w:val="24"/>
        </w:rPr>
        <w:t>规划</w:t>
      </w:r>
      <w:r>
        <w:rPr>
          <w:szCs w:val="24"/>
        </w:rPr>
        <w:t>出线</w:t>
      </w:r>
      <w:r>
        <w:rPr>
          <w:rFonts w:hint="eastAsia"/>
          <w:szCs w:val="24"/>
        </w:rPr>
        <w:t>6</w:t>
      </w:r>
      <w:r>
        <w:rPr>
          <w:szCs w:val="24"/>
        </w:rPr>
        <w:t>回，</w:t>
      </w:r>
      <w:r>
        <w:rPr>
          <w:rFonts w:hint="eastAsia"/>
          <w:szCs w:val="24"/>
        </w:rPr>
        <w:t>现有出线</w:t>
      </w:r>
      <w:r>
        <w:rPr>
          <w:rFonts w:hint="eastAsia"/>
          <w:szCs w:val="24"/>
        </w:rPr>
        <w:t>2</w:t>
      </w:r>
      <w:r>
        <w:rPr>
          <w:rFonts w:hint="eastAsia"/>
          <w:szCs w:val="24"/>
        </w:rPr>
        <w:t>回，</w:t>
      </w:r>
      <w:r>
        <w:rPr>
          <w:rFonts w:hint="eastAsia"/>
          <w:szCs w:val="24"/>
        </w:rPr>
        <w:t>2</w:t>
      </w:r>
      <w:r>
        <w:rPr>
          <w:rFonts w:hint="eastAsia"/>
          <w:szCs w:val="24"/>
        </w:rPr>
        <w:t>回均至布日都变，尚有</w:t>
      </w:r>
      <w:r>
        <w:rPr>
          <w:rFonts w:hint="eastAsia"/>
          <w:szCs w:val="24"/>
        </w:rPr>
        <w:t>4</w:t>
      </w:r>
      <w:r>
        <w:rPr>
          <w:rFonts w:hint="eastAsia"/>
          <w:szCs w:val="24"/>
        </w:rPr>
        <w:t>个</w:t>
      </w:r>
      <w:r>
        <w:rPr>
          <w:rFonts w:hint="eastAsia"/>
          <w:szCs w:val="24"/>
        </w:rPr>
        <w:t>220kV</w:t>
      </w:r>
      <w:r>
        <w:rPr>
          <w:rFonts w:hint="eastAsia"/>
          <w:szCs w:val="24"/>
        </w:rPr>
        <w:t>备</w:t>
      </w:r>
      <w:r>
        <w:rPr>
          <w:rFonts w:hint="eastAsia"/>
          <w:szCs w:val="24"/>
        </w:rPr>
        <w:t>用出线间隔位置。</w:t>
      </w:r>
    </w:p>
    <w:p w14:paraId="6488285E" w14:textId="77777777" w:rsidR="00A739F2" w:rsidRDefault="00597D48">
      <w:pPr>
        <w:pStyle w:val="af6"/>
        <w:rPr>
          <w:rFonts w:ascii="Times New Roman" w:hAnsi="Times New Roman"/>
        </w:rPr>
      </w:pPr>
      <w:bookmarkStart w:id="345" w:name="_Toc17540"/>
      <w:bookmarkStart w:id="346" w:name="_Toc5594"/>
      <w:bookmarkStart w:id="347" w:name="_Toc1996"/>
      <w:bookmarkStart w:id="348" w:name="_Toc17829"/>
      <w:bookmarkStart w:id="349" w:name="_Toc14965"/>
      <w:bookmarkStart w:id="350" w:name="_Toc3874"/>
      <w:bookmarkStart w:id="351" w:name="_Toc9957"/>
      <w:r>
        <w:rPr>
          <w:rFonts w:ascii="Times New Roman" w:hAnsi="Times New Roman"/>
        </w:rPr>
        <w:t>（</w:t>
      </w:r>
      <w:r>
        <w:rPr>
          <w:rFonts w:ascii="Times New Roman" w:hAnsi="Times New Roman" w:hint="eastAsia"/>
        </w:rPr>
        <w:t>三</w:t>
      </w:r>
      <w:r>
        <w:rPr>
          <w:rFonts w:ascii="Times New Roman" w:hAnsi="Times New Roman"/>
        </w:rPr>
        <w:t>）接入系统方案</w:t>
      </w:r>
      <w:bookmarkEnd w:id="345"/>
      <w:bookmarkEnd w:id="346"/>
      <w:bookmarkEnd w:id="347"/>
      <w:bookmarkEnd w:id="348"/>
      <w:bookmarkEnd w:id="349"/>
      <w:bookmarkEnd w:id="350"/>
      <w:bookmarkEnd w:id="351"/>
    </w:p>
    <w:p w14:paraId="56817B6F" w14:textId="77777777" w:rsidR="00A739F2" w:rsidRDefault="00597D48">
      <w:pPr>
        <w:rPr>
          <w:szCs w:val="24"/>
        </w:rPr>
      </w:pPr>
      <w:r>
        <w:rPr>
          <w:rFonts w:hint="eastAsia"/>
          <w:szCs w:val="24"/>
        </w:rPr>
        <w:lastRenderedPageBreak/>
        <w:t>（</w:t>
      </w:r>
      <w:r>
        <w:rPr>
          <w:rFonts w:hint="eastAsia"/>
          <w:szCs w:val="24"/>
        </w:rPr>
        <w:t>1</w:t>
      </w:r>
      <w:r>
        <w:rPr>
          <w:rFonts w:hint="eastAsia"/>
          <w:szCs w:val="24"/>
        </w:rPr>
        <w:t>）康巴什区</w:t>
      </w:r>
      <w:r>
        <w:rPr>
          <w:rFonts w:hint="eastAsia"/>
          <w:szCs w:val="24"/>
        </w:rPr>
        <w:t>1#</w:t>
      </w:r>
      <w:r>
        <w:rPr>
          <w:rFonts w:hint="eastAsia"/>
          <w:szCs w:val="24"/>
        </w:rPr>
        <w:t>风光同场（近期</w:t>
      </w:r>
      <w:r>
        <w:rPr>
          <w:rFonts w:hint="eastAsia"/>
          <w:szCs w:val="24"/>
        </w:rPr>
        <w:t>5</w:t>
      </w:r>
      <w:r>
        <w:rPr>
          <w:rFonts w:hint="eastAsia"/>
          <w:szCs w:val="24"/>
        </w:rPr>
        <w:t>万千瓦风电）</w:t>
      </w:r>
    </w:p>
    <w:p w14:paraId="406930A2" w14:textId="77777777" w:rsidR="00A739F2" w:rsidRDefault="00597D48">
      <w:pPr>
        <w:rPr>
          <w:rFonts w:eastAsia="方正仿宋_GB2312" w:cs="Times New Roman"/>
        </w:rPr>
      </w:pPr>
      <w:r>
        <w:rPr>
          <w:rFonts w:eastAsia="方正仿宋_GB2312" w:cs="Times New Roman" w:hint="eastAsia"/>
        </w:rPr>
        <w:t>该场址</w:t>
      </w:r>
      <w:proofErr w:type="gramStart"/>
      <w:r>
        <w:rPr>
          <w:rFonts w:eastAsia="方正仿宋_GB2312" w:cs="Times New Roman" w:hint="eastAsia"/>
        </w:rPr>
        <w:t>位于京能康巴</w:t>
      </w:r>
      <w:proofErr w:type="gramEnd"/>
      <w:r>
        <w:rPr>
          <w:rFonts w:eastAsia="方正仿宋_GB2312" w:cs="Times New Roman" w:hint="eastAsia"/>
        </w:rPr>
        <w:t>什热电厂东侧</w:t>
      </w:r>
      <w:r>
        <w:rPr>
          <w:rFonts w:eastAsia="方正仿宋_GB2312" w:cs="Times New Roman" w:hint="eastAsia"/>
        </w:rPr>
        <w:t>2km</w:t>
      </w:r>
      <w:r>
        <w:rPr>
          <w:rFonts w:eastAsia="方正仿宋_GB2312" w:cs="Times New Roman" w:hint="eastAsia"/>
        </w:rPr>
        <w:t>处，近期拟建设康巴什热电厂厂用电替代风电项目，装机容量</w:t>
      </w:r>
      <w:r>
        <w:rPr>
          <w:rFonts w:eastAsia="方正仿宋_GB2312" w:cs="Times New Roman" w:hint="eastAsia"/>
        </w:rPr>
        <w:t>5</w:t>
      </w:r>
      <w:r>
        <w:rPr>
          <w:rFonts w:eastAsia="方正仿宋_GB2312" w:cs="Times New Roman" w:hint="eastAsia"/>
        </w:rPr>
        <w:t>万千瓦，规划建设一座</w:t>
      </w:r>
      <w:r>
        <w:rPr>
          <w:rFonts w:eastAsia="方正仿宋_GB2312" w:cs="Times New Roman" w:hint="eastAsia"/>
        </w:rPr>
        <w:t>35kV</w:t>
      </w:r>
      <w:r>
        <w:rPr>
          <w:rFonts w:eastAsia="方正仿宋_GB2312" w:cs="Times New Roman" w:hint="eastAsia"/>
        </w:rPr>
        <w:t>开关站，以</w:t>
      </w:r>
      <w:r>
        <w:rPr>
          <w:rFonts w:eastAsia="方正仿宋_GB2312" w:cs="Times New Roman" w:hint="eastAsia"/>
        </w:rPr>
        <w:t>35kV</w:t>
      </w:r>
      <w:r>
        <w:rPr>
          <w:rFonts w:eastAsia="方正仿宋_GB2312" w:cs="Times New Roman" w:hint="eastAsia"/>
        </w:rPr>
        <w:t>电压等级送至电厂后降压至</w:t>
      </w:r>
      <w:r>
        <w:rPr>
          <w:rFonts w:eastAsia="方正仿宋_GB2312" w:cs="Times New Roman" w:hint="eastAsia"/>
        </w:rPr>
        <w:t>6kV</w:t>
      </w:r>
      <w:proofErr w:type="gramStart"/>
      <w:r>
        <w:rPr>
          <w:rFonts w:eastAsia="方正仿宋_GB2312" w:cs="Times New Roman" w:hint="eastAsia"/>
        </w:rPr>
        <w:t>接入厂</w:t>
      </w:r>
      <w:proofErr w:type="gramEnd"/>
      <w:r>
        <w:rPr>
          <w:rFonts w:eastAsia="方正仿宋_GB2312" w:cs="Times New Roman" w:hint="eastAsia"/>
        </w:rPr>
        <w:t>用电母线。接入系统方案示意图如下：</w:t>
      </w:r>
    </w:p>
    <w:p w14:paraId="1E7B927E" w14:textId="77777777" w:rsidR="00A739F2" w:rsidRDefault="00597D48">
      <w:pPr>
        <w:pStyle w:val="2"/>
        <w:snapToGrid w:val="0"/>
        <w:spacing w:after="0" w:line="240" w:lineRule="auto"/>
        <w:ind w:leftChars="0" w:left="0" w:firstLineChars="0" w:firstLine="0"/>
        <w:jc w:val="center"/>
      </w:pPr>
      <w:r>
        <w:rPr>
          <w:noProof/>
        </w:rPr>
        <w:drawing>
          <wp:inline distT="0" distB="0" distL="114300" distR="114300" wp14:anchorId="08506B2D" wp14:editId="102C4A9C">
            <wp:extent cx="5268595" cy="4403725"/>
            <wp:effectExtent l="0" t="0" r="8255" b="15875"/>
            <wp:docPr id="3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5"/>
                    <pic:cNvPicPr>
                      <a:picLocks noChangeAspect="1"/>
                    </pic:cNvPicPr>
                  </pic:nvPicPr>
                  <pic:blipFill>
                    <a:blip r:embed="rId47"/>
                    <a:stretch>
                      <a:fillRect/>
                    </a:stretch>
                  </pic:blipFill>
                  <pic:spPr>
                    <a:xfrm>
                      <a:off x="0" y="0"/>
                      <a:ext cx="5268595" cy="4403725"/>
                    </a:xfrm>
                    <a:prstGeom prst="rect">
                      <a:avLst/>
                    </a:prstGeom>
                    <a:noFill/>
                    <a:ln>
                      <a:noFill/>
                    </a:ln>
                  </pic:spPr>
                </pic:pic>
              </a:graphicData>
            </a:graphic>
          </wp:inline>
        </w:drawing>
      </w:r>
    </w:p>
    <w:p w14:paraId="05AFA4DF"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9.3-1 </w:t>
      </w:r>
      <w:r>
        <w:rPr>
          <w:rFonts w:cs="Times New Roman" w:hint="eastAsia"/>
          <w:b/>
          <w:sz w:val="24"/>
        </w:rPr>
        <w:t>接入系统方案示意图</w:t>
      </w:r>
    </w:p>
    <w:p w14:paraId="3E54C239" w14:textId="77777777" w:rsidR="00A739F2" w:rsidRDefault="00597D48">
      <w:r>
        <w:rPr>
          <w:rFonts w:hint="eastAsia"/>
          <w:szCs w:val="24"/>
        </w:rPr>
        <w:t>（</w:t>
      </w:r>
      <w:r>
        <w:rPr>
          <w:rFonts w:hint="eastAsia"/>
          <w:szCs w:val="24"/>
        </w:rPr>
        <w:t>2</w:t>
      </w:r>
      <w:r>
        <w:rPr>
          <w:rFonts w:hint="eastAsia"/>
          <w:szCs w:val="24"/>
        </w:rPr>
        <w:t>）</w:t>
      </w:r>
      <w:r>
        <w:rPr>
          <w:rFonts w:hint="eastAsia"/>
        </w:rPr>
        <w:t>康巴什区</w:t>
      </w:r>
      <w:r>
        <w:rPr>
          <w:rFonts w:hint="eastAsia"/>
        </w:rPr>
        <w:t>1</w:t>
      </w:r>
      <w:r>
        <w:t>#</w:t>
      </w:r>
      <w:r>
        <w:rPr>
          <w:rFonts w:hint="eastAsia"/>
        </w:rPr>
        <w:t>风电场区</w:t>
      </w:r>
    </w:p>
    <w:p w14:paraId="54ABDBEC" w14:textId="77777777" w:rsidR="00A739F2" w:rsidRDefault="00597D48">
      <w:r>
        <w:rPr>
          <w:rFonts w:hint="eastAsia"/>
        </w:rPr>
        <w:t>1#</w:t>
      </w:r>
      <w:r>
        <w:rPr>
          <w:rFonts w:hint="eastAsia"/>
        </w:rPr>
        <w:t>风电场区位于康巴什区西部，哈巴格希社区范围内，规划装机容量</w:t>
      </w:r>
      <w:r>
        <w:rPr>
          <w:rFonts w:hint="eastAsia"/>
        </w:rPr>
        <w:t>15</w:t>
      </w:r>
      <w:r>
        <w:rPr>
          <w:rFonts w:hint="eastAsia"/>
        </w:rPr>
        <w:t>万千瓦，场址附近规划新建</w:t>
      </w:r>
      <w:r>
        <w:rPr>
          <w:rFonts w:hint="eastAsia"/>
        </w:rPr>
        <w:t>1</w:t>
      </w:r>
      <w:r>
        <w:rPr>
          <w:rFonts w:hint="eastAsia"/>
        </w:rPr>
        <w:t>座</w:t>
      </w:r>
      <w:r>
        <w:rPr>
          <w:rFonts w:hint="eastAsia"/>
        </w:rPr>
        <w:t>110kV</w:t>
      </w:r>
      <w:r>
        <w:rPr>
          <w:rFonts w:hint="eastAsia"/>
        </w:rPr>
        <w:t>升压站，</w:t>
      </w:r>
    </w:p>
    <w:p w14:paraId="6020D70E" w14:textId="77777777" w:rsidR="00A739F2" w:rsidRDefault="00597D48">
      <w:r>
        <w:rPr>
          <w:rFonts w:hint="eastAsia"/>
        </w:rPr>
        <w:lastRenderedPageBreak/>
        <w:t>结合项目周边电网情况可考虑如下两个接入系统方案：</w:t>
      </w:r>
    </w:p>
    <w:p w14:paraId="66E72A9F" w14:textId="77777777" w:rsidR="00A739F2" w:rsidRDefault="00597D48">
      <w:r>
        <w:rPr>
          <w:rFonts w:hint="eastAsia"/>
        </w:rPr>
        <w:t>方案</w:t>
      </w:r>
      <w:proofErr w:type="gramStart"/>
      <w:r>
        <w:rPr>
          <w:rFonts w:hint="eastAsia"/>
        </w:rPr>
        <w:t>一</w:t>
      </w:r>
      <w:proofErr w:type="gramEnd"/>
      <w:r>
        <w:rPr>
          <w:rFonts w:hint="eastAsia"/>
        </w:rPr>
        <w:t>：以</w:t>
      </w:r>
      <w:r>
        <w:rPr>
          <w:rFonts w:hint="eastAsia"/>
        </w:rPr>
        <w:t>1</w:t>
      </w:r>
      <w:r>
        <w:rPr>
          <w:rFonts w:hint="eastAsia"/>
        </w:rPr>
        <w:t>回</w:t>
      </w:r>
      <w:r>
        <w:rPr>
          <w:rFonts w:hint="eastAsia"/>
        </w:rPr>
        <w:t>110kV</w:t>
      </w:r>
      <w:r>
        <w:rPr>
          <w:rFonts w:hint="eastAsia"/>
        </w:rPr>
        <w:t>线路接至</w:t>
      </w:r>
      <w:r>
        <w:rPr>
          <w:rFonts w:hint="eastAsia"/>
        </w:rPr>
        <w:t>220kV</w:t>
      </w:r>
      <w:r>
        <w:rPr>
          <w:rFonts w:hint="eastAsia"/>
        </w:rPr>
        <w:t>卓越变电站，新建线路长度约</w:t>
      </w:r>
      <w:r>
        <w:rPr>
          <w:rFonts w:hint="eastAsia"/>
        </w:rPr>
        <w:t>10km</w:t>
      </w:r>
      <w:r>
        <w:rPr>
          <w:rFonts w:hint="eastAsia"/>
        </w:rPr>
        <w:t>，采用</w:t>
      </w:r>
      <w:r>
        <w:rPr>
          <w:rFonts w:hint="eastAsia"/>
        </w:rPr>
        <w:t>1</w:t>
      </w:r>
      <w:r>
        <w:rPr>
          <w:rFonts w:hint="eastAsia"/>
        </w:rPr>
        <w:t>×</w:t>
      </w:r>
      <w:r>
        <w:rPr>
          <w:rFonts w:hint="eastAsia"/>
        </w:rPr>
        <w:t>400mm</w:t>
      </w:r>
      <w:r>
        <w:rPr>
          <w:rFonts w:hint="eastAsia"/>
          <w:vertAlign w:val="superscript"/>
        </w:rPr>
        <w:t>2</w:t>
      </w:r>
      <w:r>
        <w:rPr>
          <w:rFonts w:hint="eastAsia"/>
        </w:rPr>
        <w:t>截面导线。</w:t>
      </w:r>
    </w:p>
    <w:p w14:paraId="4D5AFD3D" w14:textId="77777777" w:rsidR="00A739F2" w:rsidRDefault="00597D48">
      <w:pPr>
        <w:pStyle w:val="2"/>
        <w:snapToGrid w:val="0"/>
        <w:spacing w:after="0" w:line="240" w:lineRule="auto"/>
        <w:ind w:leftChars="0" w:left="0" w:firstLineChars="0" w:firstLine="0"/>
        <w:jc w:val="center"/>
      </w:pPr>
      <w:r>
        <w:rPr>
          <w:noProof/>
        </w:rPr>
        <w:drawing>
          <wp:inline distT="0" distB="0" distL="114300" distR="114300" wp14:anchorId="0E36EB10" wp14:editId="6BE4749D">
            <wp:extent cx="5273040" cy="4322445"/>
            <wp:effectExtent l="0" t="0" r="3810" b="190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48"/>
                    <a:stretch>
                      <a:fillRect/>
                    </a:stretch>
                  </pic:blipFill>
                  <pic:spPr>
                    <a:xfrm>
                      <a:off x="0" y="0"/>
                      <a:ext cx="5273040" cy="4322445"/>
                    </a:xfrm>
                    <a:prstGeom prst="rect">
                      <a:avLst/>
                    </a:prstGeom>
                    <a:noFill/>
                    <a:ln>
                      <a:noFill/>
                    </a:ln>
                  </pic:spPr>
                </pic:pic>
              </a:graphicData>
            </a:graphic>
          </wp:inline>
        </w:drawing>
      </w:r>
    </w:p>
    <w:p w14:paraId="36B1E115"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9.3-2 </w:t>
      </w:r>
      <w:r>
        <w:rPr>
          <w:rFonts w:cs="Times New Roman" w:hint="eastAsia"/>
          <w:b/>
          <w:sz w:val="24"/>
        </w:rPr>
        <w:t>接入系统示意图（方案一）</w:t>
      </w:r>
    </w:p>
    <w:p w14:paraId="6114A6E3" w14:textId="77777777" w:rsidR="00A739F2" w:rsidRDefault="00597D48">
      <w:r>
        <w:rPr>
          <w:rFonts w:hint="eastAsia"/>
        </w:rPr>
        <w:t>方案二：以</w:t>
      </w:r>
      <w:r>
        <w:rPr>
          <w:rFonts w:hint="eastAsia"/>
        </w:rPr>
        <w:t>1</w:t>
      </w:r>
      <w:r>
        <w:rPr>
          <w:rFonts w:hint="eastAsia"/>
        </w:rPr>
        <w:t>回</w:t>
      </w:r>
      <w:r>
        <w:rPr>
          <w:rFonts w:hint="eastAsia"/>
        </w:rPr>
        <w:t>110kV</w:t>
      </w:r>
      <w:r>
        <w:rPr>
          <w:rFonts w:hint="eastAsia"/>
        </w:rPr>
        <w:t>线路接至</w:t>
      </w:r>
      <w:r>
        <w:rPr>
          <w:rFonts w:hint="eastAsia"/>
        </w:rPr>
        <w:t>220kV</w:t>
      </w:r>
      <w:r>
        <w:rPr>
          <w:rFonts w:hint="eastAsia"/>
        </w:rPr>
        <w:t>装备变电站，新建线路长度约</w:t>
      </w:r>
      <w:r>
        <w:rPr>
          <w:rFonts w:hint="eastAsia"/>
        </w:rPr>
        <w:t>12km</w:t>
      </w:r>
      <w:r>
        <w:rPr>
          <w:rFonts w:hint="eastAsia"/>
        </w:rPr>
        <w:t>，采用</w:t>
      </w:r>
      <w:r>
        <w:rPr>
          <w:rFonts w:hint="eastAsia"/>
        </w:rPr>
        <w:t>1</w:t>
      </w:r>
      <w:r>
        <w:rPr>
          <w:rFonts w:hint="eastAsia"/>
        </w:rPr>
        <w:t>×</w:t>
      </w:r>
      <w:r>
        <w:rPr>
          <w:rFonts w:hint="eastAsia"/>
        </w:rPr>
        <w:t>400mm</w:t>
      </w:r>
      <w:r>
        <w:rPr>
          <w:rFonts w:hint="eastAsia"/>
          <w:vertAlign w:val="superscript"/>
        </w:rPr>
        <w:t>2</w:t>
      </w:r>
      <w:r>
        <w:rPr>
          <w:rFonts w:hint="eastAsia"/>
        </w:rPr>
        <w:t>截面导线。</w:t>
      </w:r>
    </w:p>
    <w:p w14:paraId="70533E82" w14:textId="77777777" w:rsidR="00A739F2" w:rsidRDefault="00597D48">
      <w:proofErr w:type="gramStart"/>
      <w:r>
        <w:rPr>
          <w:rFonts w:hint="eastAsia"/>
        </w:rPr>
        <w:t>若项目</w:t>
      </w:r>
      <w:proofErr w:type="gramEnd"/>
      <w:r>
        <w:rPr>
          <w:rFonts w:hint="eastAsia"/>
        </w:rPr>
        <w:t>采用分期建设，可按远期规划将并网工程一次建成，后续扩建工程仅需接入一期工程建设的升压站，利用已建成的并网工程接入系统即可。</w:t>
      </w:r>
    </w:p>
    <w:p w14:paraId="4491FE95" w14:textId="77777777" w:rsidR="00A739F2" w:rsidRDefault="00597D48">
      <w:pPr>
        <w:pStyle w:val="2"/>
        <w:snapToGrid w:val="0"/>
        <w:spacing w:after="0" w:line="240" w:lineRule="auto"/>
        <w:ind w:leftChars="0" w:left="0" w:firstLineChars="0" w:firstLine="0"/>
        <w:jc w:val="center"/>
      </w:pPr>
      <w:r>
        <w:rPr>
          <w:noProof/>
        </w:rPr>
        <w:lastRenderedPageBreak/>
        <w:drawing>
          <wp:inline distT="0" distB="0" distL="114300" distR="114300" wp14:anchorId="365AA6E4" wp14:editId="4EC15C68">
            <wp:extent cx="5271135" cy="4326255"/>
            <wp:effectExtent l="0" t="0" r="5715" b="1714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49"/>
                    <a:stretch>
                      <a:fillRect/>
                    </a:stretch>
                  </pic:blipFill>
                  <pic:spPr>
                    <a:xfrm>
                      <a:off x="0" y="0"/>
                      <a:ext cx="5271135" cy="4326255"/>
                    </a:xfrm>
                    <a:prstGeom prst="rect">
                      <a:avLst/>
                    </a:prstGeom>
                    <a:noFill/>
                    <a:ln>
                      <a:noFill/>
                    </a:ln>
                  </pic:spPr>
                </pic:pic>
              </a:graphicData>
            </a:graphic>
          </wp:inline>
        </w:drawing>
      </w:r>
    </w:p>
    <w:p w14:paraId="2FE06FA0"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9.3-3 </w:t>
      </w:r>
      <w:r>
        <w:rPr>
          <w:rFonts w:cs="Times New Roman" w:hint="eastAsia"/>
          <w:b/>
          <w:sz w:val="24"/>
        </w:rPr>
        <w:t>接入系统示意图（方案二）</w:t>
      </w:r>
    </w:p>
    <w:p w14:paraId="50270A44" w14:textId="77777777" w:rsidR="00A739F2" w:rsidRDefault="00597D48">
      <w:r>
        <w:rPr>
          <w:rFonts w:hint="eastAsia"/>
          <w:szCs w:val="24"/>
        </w:rPr>
        <w:t>（</w:t>
      </w:r>
      <w:r>
        <w:rPr>
          <w:rFonts w:hint="eastAsia"/>
          <w:szCs w:val="24"/>
        </w:rPr>
        <w:t>3</w:t>
      </w:r>
      <w:r>
        <w:rPr>
          <w:rFonts w:hint="eastAsia"/>
          <w:szCs w:val="24"/>
        </w:rPr>
        <w:t>）</w:t>
      </w:r>
      <w:r>
        <w:t>1#</w:t>
      </w:r>
      <w:r>
        <w:rPr>
          <w:rFonts w:hint="eastAsia"/>
        </w:rPr>
        <w:t>光</w:t>
      </w:r>
      <w:proofErr w:type="gramStart"/>
      <w:r>
        <w:rPr>
          <w:rFonts w:hint="eastAsia"/>
        </w:rPr>
        <w:t>伏项目光伏</w:t>
      </w:r>
      <w:proofErr w:type="gramEnd"/>
      <w:r>
        <w:rPr>
          <w:rFonts w:hint="eastAsia"/>
        </w:rPr>
        <w:t>治沙场区</w:t>
      </w:r>
    </w:p>
    <w:p w14:paraId="04C1B4F0" w14:textId="77777777" w:rsidR="00A739F2" w:rsidRDefault="00597D48">
      <w:r>
        <w:rPr>
          <w:rFonts w:hint="eastAsia"/>
        </w:rPr>
        <w:t>1#</w:t>
      </w:r>
      <w:r>
        <w:rPr>
          <w:rFonts w:hint="eastAsia"/>
        </w:rPr>
        <w:t>光伏</w:t>
      </w:r>
      <w:proofErr w:type="gramStart"/>
      <w:r>
        <w:rPr>
          <w:rFonts w:hint="eastAsia"/>
        </w:rPr>
        <w:t>治沙场</w:t>
      </w:r>
      <w:proofErr w:type="gramEnd"/>
      <w:r>
        <w:rPr>
          <w:rFonts w:hint="eastAsia"/>
        </w:rPr>
        <w:t>区位于康巴什区东南部，格德热格社区范围内，规划装机容量</w:t>
      </w:r>
      <w:r>
        <w:rPr>
          <w:rFonts w:hint="eastAsia"/>
        </w:rPr>
        <w:t>40</w:t>
      </w:r>
      <w:r>
        <w:rPr>
          <w:rFonts w:hint="eastAsia"/>
        </w:rPr>
        <w:t>万千瓦，场址附近规划新建</w:t>
      </w:r>
      <w:r>
        <w:rPr>
          <w:rFonts w:hint="eastAsia"/>
        </w:rPr>
        <w:t>1</w:t>
      </w:r>
      <w:r>
        <w:rPr>
          <w:rFonts w:hint="eastAsia"/>
        </w:rPr>
        <w:t>座</w:t>
      </w:r>
      <w:r>
        <w:rPr>
          <w:rFonts w:hint="eastAsia"/>
        </w:rPr>
        <w:t>220kV</w:t>
      </w:r>
      <w:r>
        <w:rPr>
          <w:rFonts w:hint="eastAsia"/>
        </w:rPr>
        <w:t>升压站，可考虑如下接入系统方案：</w:t>
      </w:r>
    </w:p>
    <w:p w14:paraId="164713B0" w14:textId="77777777" w:rsidR="00A739F2" w:rsidRDefault="00597D48">
      <w:r>
        <w:rPr>
          <w:rFonts w:hint="eastAsia"/>
        </w:rPr>
        <w:t>以</w:t>
      </w:r>
      <w:r>
        <w:rPr>
          <w:rFonts w:hint="eastAsia"/>
        </w:rPr>
        <w:t>1</w:t>
      </w:r>
      <w:r>
        <w:rPr>
          <w:rFonts w:hint="eastAsia"/>
        </w:rPr>
        <w:t>回</w:t>
      </w:r>
      <w:r>
        <w:rPr>
          <w:rFonts w:hint="eastAsia"/>
        </w:rPr>
        <w:t>220kV</w:t>
      </w:r>
      <w:r>
        <w:rPr>
          <w:rFonts w:hint="eastAsia"/>
        </w:rPr>
        <w:t>线路接至</w:t>
      </w:r>
      <w:r>
        <w:rPr>
          <w:rFonts w:hint="eastAsia"/>
        </w:rPr>
        <w:t>220kV</w:t>
      </w:r>
      <w:r>
        <w:rPr>
          <w:rFonts w:hint="eastAsia"/>
        </w:rPr>
        <w:t>边家塔变电站，新建线路长度约</w:t>
      </w:r>
      <w:r>
        <w:rPr>
          <w:rFonts w:hint="eastAsia"/>
        </w:rPr>
        <w:t>21km</w:t>
      </w:r>
      <w:r>
        <w:rPr>
          <w:rFonts w:hint="eastAsia"/>
        </w:rPr>
        <w:t>，采用</w:t>
      </w:r>
      <w:r>
        <w:rPr>
          <w:rFonts w:hint="eastAsia"/>
        </w:rPr>
        <w:t>2</w:t>
      </w:r>
      <w:r>
        <w:rPr>
          <w:rFonts w:hint="eastAsia"/>
        </w:rPr>
        <w:t>×</w:t>
      </w:r>
      <w:r>
        <w:rPr>
          <w:rFonts w:hint="eastAsia"/>
        </w:rPr>
        <w:t>400mm</w:t>
      </w:r>
      <w:r>
        <w:rPr>
          <w:rFonts w:hint="eastAsia"/>
          <w:vertAlign w:val="superscript"/>
        </w:rPr>
        <w:t>2</w:t>
      </w:r>
      <w:r>
        <w:rPr>
          <w:rFonts w:hint="eastAsia"/>
        </w:rPr>
        <w:t>截面导线。</w:t>
      </w:r>
    </w:p>
    <w:p w14:paraId="3FCAF8C4" w14:textId="77777777" w:rsidR="00A739F2" w:rsidRDefault="00597D48">
      <w:proofErr w:type="gramStart"/>
      <w:r>
        <w:rPr>
          <w:rFonts w:hint="eastAsia"/>
        </w:rPr>
        <w:t>若项目</w:t>
      </w:r>
      <w:proofErr w:type="gramEnd"/>
      <w:r>
        <w:rPr>
          <w:rFonts w:hint="eastAsia"/>
        </w:rPr>
        <w:t>采用分期建设，可按远期规划将并网工程一次建成，后续扩</w:t>
      </w:r>
      <w:r>
        <w:rPr>
          <w:rFonts w:hint="eastAsia"/>
        </w:rPr>
        <w:t>建工程仅需接入一期工程建设的升压站，利用已建成的</w:t>
      </w:r>
      <w:r>
        <w:rPr>
          <w:rFonts w:hint="eastAsia"/>
        </w:rPr>
        <w:lastRenderedPageBreak/>
        <w:t>并网工程接入系统即可。</w:t>
      </w:r>
    </w:p>
    <w:p w14:paraId="68B64906" w14:textId="77777777" w:rsidR="00A739F2" w:rsidRDefault="00597D48">
      <w:pPr>
        <w:ind w:firstLineChars="0" w:firstLine="0"/>
        <w:jc w:val="center"/>
        <w:rPr>
          <w:rFonts w:cs="Times New Roman"/>
          <w:b/>
          <w:sz w:val="24"/>
        </w:rPr>
      </w:pPr>
      <w:r>
        <w:rPr>
          <w:rFonts w:hint="eastAsia"/>
        </w:rPr>
        <w:t xml:space="preserve">4333333  </w:t>
      </w:r>
      <w:r>
        <w:rPr>
          <w:noProof/>
        </w:rPr>
        <w:drawing>
          <wp:inline distT="0" distB="0" distL="114300" distR="114300" wp14:anchorId="6B02EAFA" wp14:editId="69FD79EB">
            <wp:extent cx="5142230" cy="5913120"/>
            <wp:effectExtent l="0" t="0" r="8890" b="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50"/>
                    <a:stretch>
                      <a:fillRect/>
                    </a:stretch>
                  </pic:blipFill>
                  <pic:spPr>
                    <a:xfrm>
                      <a:off x="0" y="0"/>
                      <a:ext cx="5142230" cy="5913120"/>
                    </a:xfrm>
                    <a:prstGeom prst="rect">
                      <a:avLst/>
                    </a:prstGeom>
                    <a:noFill/>
                    <a:ln>
                      <a:noFill/>
                    </a:ln>
                  </pic:spPr>
                </pic:pic>
              </a:graphicData>
            </a:graphic>
          </wp:inline>
        </w:drawing>
      </w:r>
    </w:p>
    <w:p w14:paraId="341C5282"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9.3-4 </w:t>
      </w:r>
      <w:r>
        <w:rPr>
          <w:rFonts w:cs="Times New Roman" w:hint="eastAsia"/>
          <w:b/>
          <w:sz w:val="24"/>
        </w:rPr>
        <w:t>接入系统方案示意图</w:t>
      </w:r>
    </w:p>
    <w:p w14:paraId="3D960B36" w14:textId="77777777" w:rsidR="00A739F2" w:rsidRDefault="00597D48">
      <w:pPr>
        <w:numPr>
          <w:ilvl w:val="255"/>
          <w:numId w:val="0"/>
        </w:numPr>
        <w:ind w:firstLineChars="200" w:firstLine="640"/>
      </w:pPr>
      <w:r>
        <w:rPr>
          <w:rFonts w:hint="eastAsia"/>
        </w:rPr>
        <w:t>（</w:t>
      </w:r>
      <w:r>
        <w:rPr>
          <w:rFonts w:hint="eastAsia"/>
        </w:rPr>
        <w:t>4</w:t>
      </w:r>
      <w:r>
        <w:rPr>
          <w:rFonts w:hint="eastAsia"/>
        </w:rPr>
        <w:t>）</w:t>
      </w:r>
      <w:r>
        <w:rPr>
          <w:rFonts w:hint="eastAsia"/>
        </w:rPr>
        <w:t>2</w:t>
      </w:r>
      <w:r>
        <w:t>#</w:t>
      </w:r>
      <w:r>
        <w:rPr>
          <w:rFonts w:hint="eastAsia"/>
        </w:rPr>
        <w:t>风光同场场区</w:t>
      </w:r>
    </w:p>
    <w:p w14:paraId="4038E31F" w14:textId="77777777" w:rsidR="00A739F2" w:rsidRDefault="00597D48">
      <w:r>
        <w:rPr>
          <w:rFonts w:hint="eastAsia"/>
        </w:rPr>
        <w:t>康巴什区</w:t>
      </w:r>
      <w:r>
        <w:rPr>
          <w:rFonts w:hint="eastAsia"/>
        </w:rPr>
        <w:t>2</w:t>
      </w:r>
      <w:r>
        <w:t>#</w:t>
      </w:r>
      <w:r>
        <w:rPr>
          <w:rFonts w:hint="eastAsia"/>
        </w:rPr>
        <w:t>风光同场场址位于康巴什区西南部，哈巴格希</w:t>
      </w:r>
      <w:r>
        <w:rPr>
          <w:rFonts w:hint="eastAsia"/>
        </w:rPr>
        <w:lastRenderedPageBreak/>
        <w:t>社区范围内，规划总装机容量</w:t>
      </w:r>
      <w:r>
        <w:rPr>
          <w:rFonts w:hint="eastAsia"/>
        </w:rPr>
        <w:t>75</w:t>
      </w:r>
      <w:r>
        <w:rPr>
          <w:rFonts w:hint="eastAsia"/>
        </w:rPr>
        <w:t>万千瓦，其中风电装机容量</w:t>
      </w:r>
      <w:r>
        <w:rPr>
          <w:rFonts w:hint="eastAsia"/>
        </w:rPr>
        <w:t>25</w:t>
      </w:r>
      <w:r>
        <w:rPr>
          <w:rFonts w:hint="eastAsia"/>
        </w:rPr>
        <w:t>万千瓦，光伏装机容量</w:t>
      </w:r>
      <w:r>
        <w:rPr>
          <w:rFonts w:hint="eastAsia"/>
        </w:rPr>
        <w:t>50</w:t>
      </w:r>
      <w:r>
        <w:rPr>
          <w:rFonts w:hint="eastAsia"/>
        </w:rPr>
        <w:t>万千瓦。</w:t>
      </w:r>
    </w:p>
    <w:p w14:paraId="616DE132" w14:textId="77777777" w:rsidR="00A739F2" w:rsidRDefault="00597D48">
      <w:pPr>
        <w:numPr>
          <w:ilvl w:val="255"/>
          <w:numId w:val="0"/>
        </w:numPr>
        <w:ind w:firstLineChars="200" w:firstLine="640"/>
      </w:pPr>
      <w:r>
        <w:rPr>
          <w:rFonts w:hint="eastAsia"/>
        </w:rPr>
        <w:t>结合周边电网规划，考虑接入系统方案如下：</w:t>
      </w:r>
    </w:p>
    <w:p w14:paraId="4F651933" w14:textId="77777777" w:rsidR="00A739F2" w:rsidRDefault="00597D48">
      <w:pPr>
        <w:numPr>
          <w:ilvl w:val="255"/>
          <w:numId w:val="0"/>
        </w:numPr>
        <w:ind w:firstLineChars="200" w:firstLine="640"/>
      </w:pPr>
      <w:r>
        <w:rPr>
          <w:rFonts w:hint="eastAsia"/>
        </w:rPr>
        <w:t>本项目</w:t>
      </w:r>
      <w:r>
        <w:rPr>
          <w:rFonts w:eastAsia="方正仿宋_GB2312" w:cs="Times New Roman" w:hint="eastAsia"/>
        </w:rPr>
        <w:t>新建一座</w:t>
      </w:r>
      <w:r>
        <w:rPr>
          <w:rFonts w:eastAsia="方正仿宋_GB2312" w:cs="Times New Roman" w:hint="eastAsia"/>
        </w:rPr>
        <w:t>220kV</w:t>
      </w:r>
      <w:r>
        <w:rPr>
          <w:rFonts w:eastAsia="方正仿宋_GB2312" w:cs="Times New Roman" w:hint="eastAsia"/>
        </w:rPr>
        <w:t>升压站，以</w:t>
      </w:r>
      <w:r>
        <w:rPr>
          <w:rFonts w:eastAsia="方正仿宋_GB2312" w:cs="Times New Roman" w:hint="eastAsia"/>
        </w:rPr>
        <w:t>1</w:t>
      </w:r>
      <w:r>
        <w:rPr>
          <w:rFonts w:eastAsia="方正仿宋_GB2312" w:cs="Times New Roman" w:hint="eastAsia"/>
        </w:rPr>
        <w:t>回</w:t>
      </w:r>
      <w:r>
        <w:rPr>
          <w:rFonts w:eastAsia="方正仿宋_GB2312" w:cs="Times New Roman" w:hint="eastAsia"/>
        </w:rPr>
        <w:t>220kV</w:t>
      </w:r>
      <w:r>
        <w:rPr>
          <w:rFonts w:eastAsia="方正仿宋_GB2312" w:cs="Times New Roman" w:hint="eastAsia"/>
        </w:rPr>
        <w:t>架空线路接至</w:t>
      </w:r>
      <w:r>
        <w:rPr>
          <w:rFonts w:eastAsia="方正仿宋_GB2312" w:cs="Times New Roman" w:hint="eastAsia"/>
        </w:rPr>
        <w:t>220kV</w:t>
      </w:r>
      <w:r>
        <w:rPr>
          <w:rFonts w:eastAsia="方正仿宋_GB2312" w:cs="Times New Roman" w:hint="eastAsia"/>
        </w:rPr>
        <w:t>卓越变电站，新建线路长度约</w:t>
      </w:r>
      <w:r>
        <w:rPr>
          <w:rFonts w:eastAsia="方正仿宋_GB2312" w:cs="Times New Roman" w:hint="eastAsia"/>
        </w:rPr>
        <w:t>7.5km</w:t>
      </w:r>
      <w:r>
        <w:rPr>
          <w:rFonts w:eastAsia="方正仿宋_GB2312" w:cs="Times New Roman" w:hint="eastAsia"/>
        </w:rPr>
        <w:t>，</w:t>
      </w:r>
      <w:r>
        <w:rPr>
          <w:rFonts w:hint="eastAsia"/>
        </w:rPr>
        <w:t>采用</w:t>
      </w:r>
      <w:r>
        <w:rPr>
          <w:rFonts w:hint="eastAsia"/>
        </w:rPr>
        <w:t>2</w:t>
      </w:r>
      <w:r>
        <w:rPr>
          <w:rFonts w:hint="eastAsia"/>
        </w:rPr>
        <w:t>×</w:t>
      </w:r>
      <w:r>
        <w:rPr>
          <w:rFonts w:hint="eastAsia"/>
        </w:rPr>
        <w:t>630mm</w:t>
      </w:r>
      <w:r>
        <w:rPr>
          <w:rFonts w:hint="eastAsia"/>
          <w:vertAlign w:val="superscript"/>
        </w:rPr>
        <w:t>2</w:t>
      </w:r>
      <w:r>
        <w:rPr>
          <w:rFonts w:hint="eastAsia"/>
        </w:rPr>
        <w:t>截面导线。</w:t>
      </w:r>
    </w:p>
    <w:p w14:paraId="748491CA" w14:textId="77777777" w:rsidR="00A739F2" w:rsidRDefault="00597D48">
      <w:pPr>
        <w:ind w:firstLineChars="0" w:firstLine="0"/>
        <w:jc w:val="center"/>
        <w:rPr>
          <w:rFonts w:cs="Times New Roman"/>
          <w:b/>
          <w:sz w:val="24"/>
        </w:rPr>
      </w:pPr>
      <w:r>
        <w:rPr>
          <w:noProof/>
        </w:rPr>
        <w:drawing>
          <wp:inline distT="0" distB="0" distL="114300" distR="114300" wp14:anchorId="3C3B2B60" wp14:editId="44FBD725">
            <wp:extent cx="5267325" cy="4323715"/>
            <wp:effectExtent l="0" t="0" r="9525" b="635"/>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51"/>
                    <a:stretch>
                      <a:fillRect/>
                    </a:stretch>
                  </pic:blipFill>
                  <pic:spPr>
                    <a:xfrm>
                      <a:off x="0" y="0"/>
                      <a:ext cx="5267325" cy="4323715"/>
                    </a:xfrm>
                    <a:prstGeom prst="rect">
                      <a:avLst/>
                    </a:prstGeom>
                    <a:noFill/>
                    <a:ln>
                      <a:noFill/>
                    </a:ln>
                  </pic:spPr>
                </pic:pic>
              </a:graphicData>
            </a:graphic>
          </wp:inline>
        </w:drawing>
      </w:r>
    </w:p>
    <w:p w14:paraId="1CD9F18A"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9.3-6 </w:t>
      </w:r>
      <w:r>
        <w:rPr>
          <w:rFonts w:cs="Times New Roman" w:hint="eastAsia"/>
          <w:b/>
          <w:sz w:val="24"/>
        </w:rPr>
        <w:t>接入系统方案示意</w:t>
      </w:r>
      <w:r>
        <w:rPr>
          <w:rFonts w:cs="Times New Roman" w:hint="eastAsia"/>
          <w:b/>
          <w:sz w:val="24"/>
        </w:rPr>
        <w:t>图</w:t>
      </w:r>
    </w:p>
    <w:p w14:paraId="7013F80C" w14:textId="77777777" w:rsidR="00A739F2" w:rsidRDefault="00597D48">
      <w:proofErr w:type="gramStart"/>
      <w:r>
        <w:rPr>
          <w:rFonts w:hint="eastAsia"/>
        </w:rPr>
        <w:t>若项目</w:t>
      </w:r>
      <w:proofErr w:type="gramEnd"/>
      <w:r>
        <w:rPr>
          <w:rFonts w:hint="eastAsia"/>
        </w:rPr>
        <w:t>采用分期建设，可按远期规划将并网工程一次建成，后续扩建工程仅需接入一期工程建设的升压站，利用已建成的</w:t>
      </w:r>
      <w:r>
        <w:rPr>
          <w:rFonts w:hint="eastAsia"/>
        </w:rPr>
        <w:lastRenderedPageBreak/>
        <w:t>并网工程接入系统即可。</w:t>
      </w:r>
    </w:p>
    <w:p w14:paraId="491FD80C" w14:textId="77777777" w:rsidR="00A739F2" w:rsidRDefault="00597D48">
      <w:pPr>
        <w:numPr>
          <w:ilvl w:val="255"/>
          <w:numId w:val="0"/>
        </w:numPr>
        <w:ind w:firstLineChars="200" w:firstLine="640"/>
      </w:pPr>
      <w:r>
        <w:rPr>
          <w:rFonts w:hint="eastAsia"/>
        </w:rPr>
        <w:t>（</w:t>
      </w:r>
      <w:r>
        <w:rPr>
          <w:rFonts w:hint="eastAsia"/>
        </w:rPr>
        <w:t>5</w:t>
      </w:r>
      <w:r>
        <w:rPr>
          <w:rFonts w:hint="eastAsia"/>
        </w:rPr>
        <w:t>）</w:t>
      </w:r>
      <w:r>
        <w:t>1#</w:t>
      </w:r>
      <w:r>
        <w:rPr>
          <w:rFonts w:hint="eastAsia"/>
        </w:rPr>
        <w:t>风光同场（远期</w:t>
      </w:r>
      <w:r>
        <w:rPr>
          <w:rFonts w:hint="eastAsia"/>
        </w:rPr>
        <w:t>50</w:t>
      </w:r>
      <w:r>
        <w:rPr>
          <w:rFonts w:hint="eastAsia"/>
        </w:rPr>
        <w:t>万千瓦光伏）、</w:t>
      </w:r>
      <w:r>
        <w:rPr>
          <w:rFonts w:hint="eastAsia"/>
        </w:rPr>
        <w:t>3#</w:t>
      </w:r>
      <w:r>
        <w:rPr>
          <w:rFonts w:hint="eastAsia"/>
        </w:rPr>
        <w:t>、</w:t>
      </w:r>
      <w:r>
        <w:rPr>
          <w:rFonts w:hint="eastAsia"/>
        </w:rPr>
        <w:t>4#</w:t>
      </w:r>
      <w:r>
        <w:rPr>
          <w:rFonts w:hint="eastAsia"/>
        </w:rPr>
        <w:t>风光同场场区</w:t>
      </w:r>
    </w:p>
    <w:p w14:paraId="65B02F94" w14:textId="77777777" w:rsidR="00A739F2" w:rsidRDefault="00597D48">
      <w:r>
        <w:rPr>
          <w:rFonts w:hint="eastAsia"/>
        </w:rPr>
        <w:t>三个项目装机总容量</w:t>
      </w:r>
      <w:r>
        <w:rPr>
          <w:rFonts w:hint="eastAsia"/>
        </w:rPr>
        <w:t>275</w:t>
      </w:r>
      <w:r>
        <w:rPr>
          <w:rFonts w:hint="eastAsia"/>
        </w:rPr>
        <w:t>万千瓦，光</w:t>
      </w:r>
      <w:proofErr w:type="gramStart"/>
      <w:r>
        <w:rPr>
          <w:rFonts w:hint="eastAsia"/>
        </w:rPr>
        <w:t>伏项目</w:t>
      </w:r>
      <w:proofErr w:type="gramEnd"/>
      <w:r>
        <w:rPr>
          <w:rFonts w:hint="eastAsia"/>
        </w:rPr>
        <w:t>装机容量</w:t>
      </w:r>
      <w:r>
        <w:rPr>
          <w:rFonts w:hint="eastAsia"/>
        </w:rPr>
        <w:t>240</w:t>
      </w:r>
      <w:r>
        <w:rPr>
          <w:rFonts w:hint="eastAsia"/>
        </w:rPr>
        <w:t>万千瓦，风</w:t>
      </w:r>
      <w:proofErr w:type="gramStart"/>
      <w:r>
        <w:rPr>
          <w:rFonts w:hint="eastAsia"/>
        </w:rPr>
        <w:t>电项目</w:t>
      </w:r>
      <w:proofErr w:type="gramEnd"/>
      <w:r>
        <w:rPr>
          <w:rFonts w:hint="eastAsia"/>
        </w:rPr>
        <w:t>装机容量</w:t>
      </w:r>
      <w:r>
        <w:rPr>
          <w:rFonts w:hint="eastAsia"/>
        </w:rPr>
        <w:t>35</w:t>
      </w:r>
      <w:r>
        <w:rPr>
          <w:rFonts w:hint="eastAsia"/>
        </w:rPr>
        <w:t>万千瓦，均位于格德热格社区范围内，其中：</w:t>
      </w:r>
    </w:p>
    <w:p w14:paraId="331E3E32" w14:textId="77777777" w:rsidR="00A739F2" w:rsidRDefault="00597D48">
      <w:r>
        <w:rPr>
          <w:rFonts w:hint="eastAsia"/>
        </w:rPr>
        <w:t>康巴什区</w:t>
      </w:r>
      <w:r>
        <w:rPr>
          <w:rFonts w:hint="eastAsia"/>
        </w:rPr>
        <w:t>1#</w:t>
      </w:r>
      <w:r>
        <w:rPr>
          <w:rFonts w:hint="eastAsia"/>
        </w:rPr>
        <w:t>风光同场场址位于康巴什区格德热格社区中部，远期规划光伏装机容量</w:t>
      </w:r>
      <w:r>
        <w:rPr>
          <w:rFonts w:hint="eastAsia"/>
        </w:rPr>
        <w:t>50</w:t>
      </w:r>
      <w:r>
        <w:rPr>
          <w:rFonts w:hint="eastAsia"/>
        </w:rPr>
        <w:t>万千瓦；</w:t>
      </w:r>
    </w:p>
    <w:p w14:paraId="2A44E08D" w14:textId="77777777" w:rsidR="00A739F2" w:rsidRDefault="00597D48">
      <w:r>
        <w:rPr>
          <w:rFonts w:hint="eastAsia"/>
        </w:rPr>
        <w:t>康巴什区</w:t>
      </w:r>
      <w:r>
        <w:rPr>
          <w:rFonts w:hint="eastAsia"/>
        </w:rPr>
        <w:t>3#</w:t>
      </w:r>
      <w:r>
        <w:rPr>
          <w:rFonts w:hint="eastAsia"/>
        </w:rPr>
        <w:t>风光同场场址位于康巴什区格德热格社区西部，万和社区以东，规划装机容量</w:t>
      </w:r>
      <w:r>
        <w:rPr>
          <w:rFonts w:hint="eastAsia"/>
        </w:rPr>
        <w:t>120</w:t>
      </w:r>
      <w:r>
        <w:rPr>
          <w:rFonts w:hint="eastAsia"/>
        </w:rPr>
        <w:t>万千瓦，其中风电装机容量</w:t>
      </w:r>
      <w:r>
        <w:rPr>
          <w:rFonts w:hint="eastAsia"/>
        </w:rPr>
        <w:t>20</w:t>
      </w:r>
      <w:r>
        <w:rPr>
          <w:rFonts w:hint="eastAsia"/>
        </w:rPr>
        <w:t>万千瓦，光伏装机容量</w:t>
      </w:r>
      <w:r>
        <w:rPr>
          <w:rFonts w:hint="eastAsia"/>
        </w:rPr>
        <w:t>100</w:t>
      </w:r>
      <w:r>
        <w:rPr>
          <w:rFonts w:hint="eastAsia"/>
        </w:rPr>
        <w:t>万千瓦；</w:t>
      </w:r>
    </w:p>
    <w:p w14:paraId="2F6759A4" w14:textId="77777777" w:rsidR="00A739F2" w:rsidRDefault="00597D48">
      <w:r>
        <w:rPr>
          <w:rFonts w:hint="eastAsia"/>
        </w:rPr>
        <w:t>康巴什区</w:t>
      </w:r>
      <w:r>
        <w:rPr>
          <w:rFonts w:hint="eastAsia"/>
        </w:rPr>
        <w:t>4#</w:t>
      </w:r>
      <w:r>
        <w:rPr>
          <w:rFonts w:hint="eastAsia"/>
        </w:rPr>
        <w:t>风光同场场址位于康巴什区格德热格社区东部，规划装机容量</w:t>
      </w:r>
      <w:r>
        <w:rPr>
          <w:rFonts w:hint="eastAsia"/>
        </w:rPr>
        <w:t>105</w:t>
      </w:r>
      <w:r>
        <w:rPr>
          <w:rFonts w:hint="eastAsia"/>
        </w:rPr>
        <w:t>万千瓦，其中风电装机容量</w:t>
      </w:r>
      <w:r>
        <w:rPr>
          <w:rFonts w:hint="eastAsia"/>
        </w:rPr>
        <w:t>15</w:t>
      </w:r>
      <w:r>
        <w:rPr>
          <w:rFonts w:hint="eastAsia"/>
        </w:rPr>
        <w:t>万千瓦，光伏装机容量</w:t>
      </w:r>
      <w:r>
        <w:rPr>
          <w:rFonts w:hint="eastAsia"/>
        </w:rPr>
        <w:t>90</w:t>
      </w:r>
      <w:r>
        <w:rPr>
          <w:rFonts w:hint="eastAsia"/>
        </w:rPr>
        <w:t>万千瓦。</w:t>
      </w:r>
    </w:p>
    <w:p w14:paraId="2AE6A8F1" w14:textId="77777777" w:rsidR="00A739F2" w:rsidRDefault="00597D48">
      <w:r>
        <w:rPr>
          <w:rFonts w:hint="eastAsia"/>
        </w:rPr>
        <w:t>考虑到以上</w:t>
      </w:r>
      <w:r>
        <w:rPr>
          <w:rFonts w:hint="eastAsia"/>
        </w:rPr>
        <w:t>3</w:t>
      </w:r>
      <w:r>
        <w:rPr>
          <w:rFonts w:hint="eastAsia"/>
        </w:rPr>
        <w:t>个新能源项目装机容量较大以及康巴什区现有负荷消</w:t>
      </w:r>
      <w:proofErr w:type="gramStart"/>
      <w:r>
        <w:rPr>
          <w:rFonts w:hint="eastAsia"/>
        </w:rPr>
        <w:t>纳能力</w:t>
      </w:r>
      <w:proofErr w:type="gramEnd"/>
      <w:r>
        <w:rPr>
          <w:rFonts w:hint="eastAsia"/>
        </w:rPr>
        <w:t>不足等因素，计划将</w:t>
      </w:r>
      <w:r>
        <w:rPr>
          <w:rFonts w:hint="eastAsia"/>
        </w:rPr>
        <w:t>3</w:t>
      </w:r>
      <w:r>
        <w:rPr>
          <w:rFonts w:hint="eastAsia"/>
        </w:rPr>
        <w:t>个项目打捆送至鄂尔多斯</w:t>
      </w:r>
      <w:r>
        <w:rPr>
          <w:rFonts w:hint="eastAsia"/>
        </w:rPr>
        <w:t>500kV</w:t>
      </w:r>
      <w:r>
        <w:rPr>
          <w:rFonts w:hint="eastAsia"/>
        </w:rPr>
        <w:t>主网消纳，考虑接入系统方案如下：</w:t>
      </w:r>
    </w:p>
    <w:p w14:paraId="6DEC0083" w14:textId="77777777" w:rsidR="00A739F2" w:rsidRDefault="00597D48">
      <w:r>
        <w:rPr>
          <w:rFonts w:hint="eastAsia"/>
        </w:rPr>
        <w:t>格德热格社区北侧新建一座</w:t>
      </w:r>
      <w:r>
        <w:rPr>
          <w:rFonts w:hint="eastAsia"/>
        </w:rPr>
        <w:t>500kV</w:t>
      </w:r>
      <w:r>
        <w:rPr>
          <w:rFonts w:hint="eastAsia"/>
        </w:rPr>
        <w:t>汇集站，</w:t>
      </w:r>
      <w:r>
        <w:rPr>
          <w:rFonts w:hint="eastAsia"/>
        </w:rPr>
        <w:t>3</w:t>
      </w:r>
      <w:r>
        <w:rPr>
          <w:rFonts w:hint="eastAsia"/>
        </w:rPr>
        <w:t>个项目经各自</w:t>
      </w:r>
      <w:proofErr w:type="gramStart"/>
      <w:r>
        <w:rPr>
          <w:rFonts w:hint="eastAsia"/>
        </w:rPr>
        <w:t>升压站升压</w:t>
      </w:r>
      <w:proofErr w:type="gramEnd"/>
      <w:r>
        <w:rPr>
          <w:rFonts w:hint="eastAsia"/>
        </w:rPr>
        <w:t>至</w:t>
      </w:r>
      <w:r>
        <w:rPr>
          <w:rFonts w:hint="eastAsia"/>
        </w:rPr>
        <w:t>220kV</w:t>
      </w:r>
      <w:r>
        <w:rPr>
          <w:rFonts w:hint="eastAsia"/>
        </w:rPr>
        <w:t>后接至</w:t>
      </w:r>
      <w:r>
        <w:rPr>
          <w:rFonts w:hint="eastAsia"/>
        </w:rPr>
        <w:t>500kV</w:t>
      </w:r>
      <w:r>
        <w:rPr>
          <w:rFonts w:hint="eastAsia"/>
        </w:rPr>
        <w:t>汇集站，经站内主变升压至</w:t>
      </w:r>
      <w:r>
        <w:rPr>
          <w:rFonts w:hint="eastAsia"/>
        </w:rPr>
        <w:t>500kV</w:t>
      </w:r>
      <w:r>
        <w:rPr>
          <w:rFonts w:hint="eastAsia"/>
        </w:rPr>
        <w:t>，以</w:t>
      </w:r>
      <w:r>
        <w:rPr>
          <w:rFonts w:hint="eastAsia"/>
        </w:rPr>
        <w:t>1</w:t>
      </w:r>
      <w:r>
        <w:rPr>
          <w:rFonts w:hint="eastAsia"/>
        </w:rPr>
        <w:t>回</w:t>
      </w:r>
      <w:r>
        <w:rPr>
          <w:rFonts w:hint="eastAsia"/>
        </w:rPr>
        <w:t>500kV</w:t>
      </w:r>
      <w:r>
        <w:rPr>
          <w:rFonts w:hint="eastAsia"/>
        </w:rPr>
        <w:t>架空线路接至</w:t>
      </w:r>
      <w:r>
        <w:rPr>
          <w:rFonts w:hint="eastAsia"/>
        </w:rPr>
        <w:t>500kV</w:t>
      </w:r>
      <w:r>
        <w:rPr>
          <w:rFonts w:hint="eastAsia"/>
        </w:rPr>
        <w:t>布日都站，新建</w:t>
      </w:r>
      <w:r>
        <w:rPr>
          <w:rFonts w:hint="eastAsia"/>
        </w:rPr>
        <w:lastRenderedPageBreak/>
        <w:t>线路长度约</w:t>
      </w:r>
      <w:r>
        <w:rPr>
          <w:rFonts w:hint="eastAsia"/>
        </w:rPr>
        <w:t>15km</w:t>
      </w:r>
      <w:r>
        <w:rPr>
          <w:rFonts w:hint="eastAsia"/>
        </w:rPr>
        <w:t>，采用</w:t>
      </w:r>
      <w:r>
        <w:rPr>
          <w:rFonts w:hint="eastAsia"/>
        </w:rPr>
        <w:t>4</w:t>
      </w:r>
      <w:r>
        <w:rPr>
          <w:rFonts w:hint="eastAsia"/>
        </w:rPr>
        <w:t>×</w:t>
      </w:r>
      <w:r>
        <w:rPr>
          <w:rFonts w:hint="eastAsia"/>
        </w:rPr>
        <w:t>630mm</w:t>
      </w:r>
      <w:r>
        <w:rPr>
          <w:rFonts w:hint="eastAsia"/>
          <w:vertAlign w:val="superscript"/>
        </w:rPr>
        <w:t>2</w:t>
      </w:r>
      <w:r>
        <w:rPr>
          <w:rFonts w:hint="eastAsia"/>
        </w:rPr>
        <w:t>截面导线。</w:t>
      </w:r>
    </w:p>
    <w:p w14:paraId="11DC8F10" w14:textId="77777777" w:rsidR="00A739F2" w:rsidRDefault="00597D48">
      <w:r>
        <w:rPr>
          <w:rFonts w:hint="eastAsia"/>
        </w:rPr>
        <w:t>1#</w:t>
      </w:r>
      <w:r>
        <w:rPr>
          <w:rFonts w:hint="eastAsia"/>
        </w:rPr>
        <w:t>风光同场场址新建一座</w:t>
      </w:r>
      <w:r>
        <w:rPr>
          <w:rFonts w:hint="eastAsia"/>
        </w:rPr>
        <w:t>220kV</w:t>
      </w:r>
      <w:r>
        <w:rPr>
          <w:rFonts w:hint="eastAsia"/>
        </w:rPr>
        <w:t>升压站，远期</w:t>
      </w:r>
      <w:r>
        <w:rPr>
          <w:rFonts w:hint="eastAsia"/>
        </w:rPr>
        <w:t>50</w:t>
      </w:r>
      <w:r>
        <w:rPr>
          <w:rFonts w:hint="eastAsia"/>
        </w:rPr>
        <w:t>万千瓦光</w:t>
      </w:r>
      <w:proofErr w:type="gramStart"/>
      <w:r>
        <w:rPr>
          <w:rFonts w:hint="eastAsia"/>
        </w:rPr>
        <w:t>伏项目</w:t>
      </w:r>
      <w:proofErr w:type="gramEnd"/>
      <w:r>
        <w:rPr>
          <w:rFonts w:hint="eastAsia"/>
        </w:rPr>
        <w:t>所发电</w:t>
      </w:r>
      <w:proofErr w:type="gramStart"/>
      <w:r>
        <w:rPr>
          <w:rFonts w:hint="eastAsia"/>
        </w:rPr>
        <w:t>力经升压站升压</w:t>
      </w:r>
      <w:proofErr w:type="gramEnd"/>
      <w:r>
        <w:rPr>
          <w:rFonts w:hint="eastAsia"/>
        </w:rPr>
        <w:t>后以</w:t>
      </w:r>
      <w:r>
        <w:rPr>
          <w:rFonts w:hint="eastAsia"/>
        </w:rPr>
        <w:t>1</w:t>
      </w:r>
      <w:r>
        <w:rPr>
          <w:rFonts w:hint="eastAsia"/>
        </w:rPr>
        <w:t>回</w:t>
      </w:r>
      <w:r>
        <w:rPr>
          <w:rFonts w:hint="eastAsia"/>
        </w:rPr>
        <w:t>220kV</w:t>
      </w:r>
      <w:r>
        <w:rPr>
          <w:rFonts w:hint="eastAsia"/>
        </w:rPr>
        <w:t>架空线路接至</w:t>
      </w:r>
      <w:r>
        <w:rPr>
          <w:rFonts w:hint="eastAsia"/>
        </w:rPr>
        <w:t>500kV</w:t>
      </w:r>
      <w:r>
        <w:rPr>
          <w:rFonts w:hint="eastAsia"/>
        </w:rPr>
        <w:t>汇集</w:t>
      </w:r>
      <w:r>
        <w:rPr>
          <w:rFonts w:hint="eastAsia"/>
        </w:rPr>
        <w:t>站，新建线路长度约</w:t>
      </w:r>
      <w:r>
        <w:rPr>
          <w:rFonts w:hint="eastAsia"/>
        </w:rPr>
        <w:t>7.5km</w:t>
      </w:r>
      <w:r>
        <w:rPr>
          <w:rFonts w:hint="eastAsia"/>
        </w:rPr>
        <w:t>，采用</w:t>
      </w:r>
      <w:r>
        <w:rPr>
          <w:rFonts w:hint="eastAsia"/>
        </w:rPr>
        <w:t>2</w:t>
      </w:r>
      <w:r>
        <w:rPr>
          <w:rFonts w:hint="eastAsia"/>
        </w:rPr>
        <w:t>×</w:t>
      </w:r>
      <w:r>
        <w:rPr>
          <w:rFonts w:hint="eastAsia"/>
        </w:rPr>
        <w:t>400mm</w:t>
      </w:r>
      <w:r>
        <w:rPr>
          <w:rFonts w:hint="eastAsia"/>
          <w:vertAlign w:val="superscript"/>
        </w:rPr>
        <w:t>2</w:t>
      </w:r>
      <w:r>
        <w:rPr>
          <w:rFonts w:hint="eastAsia"/>
        </w:rPr>
        <w:t>截面导线。</w:t>
      </w:r>
    </w:p>
    <w:p w14:paraId="55691AD3" w14:textId="77777777" w:rsidR="00A739F2" w:rsidRDefault="00597D48">
      <w:r>
        <w:rPr>
          <w:rFonts w:hint="eastAsia"/>
        </w:rPr>
        <w:t>3#</w:t>
      </w:r>
      <w:r>
        <w:rPr>
          <w:rFonts w:hint="eastAsia"/>
        </w:rPr>
        <w:t>风光同</w:t>
      </w:r>
      <w:proofErr w:type="gramStart"/>
      <w:r>
        <w:rPr>
          <w:rFonts w:hint="eastAsia"/>
        </w:rPr>
        <w:t>场场区</w:t>
      </w:r>
      <w:proofErr w:type="gramEnd"/>
      <w:r>
        <w:rPr>
          <w:rFonts w:hint="eastAsia"/>
        </w:rPr>
        <w:t>新建一座</w:t>
      </w:r>
      <w:r>
        <w:rPr>
          <w:rFonts w:hint="eastAsia"/>
        </w:rPr>
        <w:t>220kV</w:t>
      </w:r>
      <w:r>
        <w:rPr>
          <w:rFonts w:hint="eastAsia"/>
        </w:rPr>
        <w:t>升压站，以</w:t>
      </w:r>
      <w:r>
        <w:rPr>
          <w:rFonts w:hint="eastAsia"/>
        </w:rPr>
        <w:t>1</w:t>
      </w:r>
      <w:r>
        <w:rPr>
          <w:rFonts w:hint="eastAsia"/>
        </w:rPr>
        <w:t>回</w:t>
      </w:r>
      <w:r>
        <w:rPr>
          <w:rFonts w:hint="eastAsia"/>
        </w:rPr>
        <w:t>220kV</w:t>
      </w:r>
      <w:r>
        <w:rPr>
          <w:rFonts w:hint="eastAsia"/>
        </w:rPr>
        <w:t>架空线路接至</w:t>
      </w:r>
      <w:r>
        <w:rPr>
          <w:rFonts w:hint="eastAsia"/>
        </w:rPr>
        <w:t>500kV</w:t>
      </w:r>
      <w:r>
        <w:rPr>
          <w:rFonts w:hint="eastAsia"/>
        </w:rPr>
        <w:t>汇集站，新建线路长度约</w:t>
      </w:r>
      <w:r>
        <w:rPr>
          <w:rFonts w:hint="eastAsia"/>
        </w:rPr>
        <w:t>5km</w:t>
      </w:r>
      <w:r>
        <w:rPr>
          <w:rFonts w:hint="eastAsia"/>
        </w:rPr>
        <w:t>，采用</w:t>
      </w:r>
      <w:r>
        <w:rPr>
          <w:rFonts w:hint="eastAsia"/>
        </w:rPr>
        <w:t>4</w:t>
      </w:r>
      <w:r>
        <w:rPr>
          <w:rFonts w:hint="eastAsia"/>
        </w:rPr>
        <w:t>×</w:t>
      </w:r>
      <w:r>
        <w:rPr>
          <w:rFonts w:hint="eastAsia"/>
        </w:rPr>
        <w:t>500mm</w:t>
      </w:r>
      <w:r>
        <w:rPr>
          <w:rFonts w:hint="eastAsia"/>
          <w:vertAlign w:val="superscript"/>
        </w:rPr>
        <w:t>2</w:t>
      </w:r>
      <w:r>
        <w:rPr>
          <w:rFonts w:hint="eastAsia"/>
        </w:rPr>
        <w:t>截面导线。</w:t>
      </w:r>
    </w:p>
    <w:p w14:paraId="3C36EB77" w14:textId="77777777" w:rsidR="00A739F2" w:rsidRDefault="00597D48">
      <w:r>
        <w:rPr>
          <w:rFonts w:hint="eastAsia"/>
        </w:rPr>
        <w:t>4#</w:t>
      </w:r>
      <w:r>
        <w:rPr>
          <w:rFonts w:hint="eastAsia"/>
        </w:rPr>
        <w:t>风光同</w:t>
      </w:r>
      <w:proofErr w:type="gramStart"/>
      <w:r>
        <w:rPr>
          <w:rFonts w:hint="eastAsia"/>
        </w:rPr>
        <w:t>场场区</w:t>
      </w:r>
      <w:proofErr w:type="gramEnd"/>
      <w:r>
        <w:rPr>
          <w:rFonts w:hint="eastAsia"/>
        </w:rPr>
        <w:t>新建一座</w:t>
      </w:r>
      <w:r>
        <w:rPr>
          <w:rFonts w:hint="eastAsia"/>
        </w:rPr>
        <w:t>220kV</w:t>
      </w:r>
      <w:r>
        <w:rPr>
          <w:rFonts w:hint="eastAsia"/>
        </w:rPr>
        <w:t>升压站，以</w:t>
      </w:r>
      <w:r>
        <w:rPr>
          <w:rFonts w:hint="eastAsia"/>
        </w:rPr>
        <w:t>1</w:t>
      </w:r>
      <w:r>
        <w:rPr>
          <w:rFonts w:hint="eastAsia"/>
        </w:rPr>
        <w:t>回</w:t>
      </w:r>
      <w:r>
        <w:rPr>
          <w:rFonts w:hint="eastAsia"/>
        </w:rPr>
        <w:t>220kV</w:t>
      </w:r>
      <w:r>
        <w:rPr>
          <w:rFonts w:hint="eastAsia"/>
        </w:rPr>
        <w:t>电缆线路接至</w:t>
      </w:r>
      <w:r>
        <w:rPr>
          <w:rFonts w:hint="eastAsia"/>
        </w:rPr>
        <w:t>500kV</w:t>
      </w:r>
      <w:r>
        <w:rPr>
          <w:rFonts w:hint="eastAsia"/>
        </w:rPr>
        <w:t>汇集站，新建线路长度约</w:t>
      </w:r>
      <w:r>
        <w:rPr>
          <w:rFonts w:hint="eastAsia"/>
        </w:rPr>
        <w:t>0.5km</w:t>
      </w:r>
      <w:r>
        <w:rPr>
          <w:rFonts w:hint="eastAsia"/>
        </w:rPr>
        <w:t>，采用</w:t>
      </w:r>
      <w:r>
        <w:rPr>
          <w:rFonts w:hint="eastAsia"/>
        </w:rPr>
        <w:t>1</w:t>
      </w:r>
      <w:r>
        <w:rPr>
          <w:rFonts w:hint="eastAsia"/>
        </w:rPr>
        <w:t>×</w:t>
      </w:r>
      <w:r>
        <w:rPr>
          <w:rFonts w:hint="eastAsia"/>
        </w:rPr>
        <w:t>2500mm</w:t>
      </w:r>
      <w:r>
        <w:rPr>
          <w:rFonts w:hint="eastAsia"/>
          <w:vertAlign w:val="superscript"/>
        </w:rPr>
        <w:t>2</w:t>
      </w:r>
      <w:r>
        <w:rPr>
          <w:rFonts w:hint="eastAsia"/>
        </w:rPr>
        <w:t>截面铜芯电缆。</w:t>
      </w:r>
    </w:p>
    <w:p w14:paraId="21F413C4" w14:textId="77777777" w:rsidR="00A739F2" w:rsidRDefault="00597D48">
      <w:pPr>
        <w:pStyle w:val="2"/>
        <w:snapToGrid w:val="0"/>
        <w:spacing w:after="0" w:line="240" w:lineRule="auto"/>
        <w:ind w:leftChars="0" w:left="0" w:firstLineChars="0" w:firstLine="0"/>
        <w:jc w:val="center"/>
      </w:pPr>
      <w:r>
        <w:rPr>
          <w:noProof/>
        </w:rPr>
        <w:lastRenderedPageBreak/>
        <w:drawing>
          <wp:inline distT="0" distB="0" distL="114300" distR="114300" wp14:anchorId="0C79750B" wp14:editId="2A8BEF3B">
            <wp:extent cx="5267325" cy="3957320"/>
            <wp:effectExtent l="0" t="0" r="9525" b="5080"/>
            <wp:docPr id="4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7"/>
                    <pic:cNvPicPr>
                      <a:picLocks noChangeAspect="1"/>
                    </pic:cNvPicPr>
                  </pic:nvPicPr>
                  <pic:blipFill>
                    <a:blip r:embed="rId52"/>
                    <a:stretch>
                      <a:fillRect/>
                    </a:stretch>
                  </pic:blipFill>
                  <pic:spPr>
                    <a:xfrm>
                      <a:off x="0" y="0"/>
                      <a:ext cx="5267325" cy="3957320"/>
                    </a:xfrm>
                    <a:prstGeom prst="rect">
                      <a:avLst/>
                    </a:prstGeom>
                    <a:noFill/>
                    <a:ln>
                      <a:noFill/>
                    </a:ln>
                  </pic:spPr>
                </pic:pic>
              </a:graphicData>
            </a:graphic>
          </wp:inline>
        </w:drawing>
      </w:r>
    </w:p>
    <w:p w14:paraId="2BA71062" w14:textId="77777777" w:rsidR="00A739F2" w:rsidRDefault="00597D48">
      <w:pPr>
        <w:ind w:firstLineChars="0" w:firstLine="0"/>
        <w:jc w:val="center"/>
        <w:rPr>
          <w:rFonts w:cs="Times New Roman"/>
          <w:b/>
          <w:sz w:val="24"/>
        </w:rPr>
      </w:pPr>
      <w:r>
        <w:rPr>
          <w:rFonts w:cs="Times New Roman" w:hint="eastAsia"/>
          <w:b/>
          <w:sz w:val="24"/>
        </w:rPr>
        <w:t>图</w:t>
      </w:r>
      <w:r>
        <w:rPr>
          <w:rFonts w:cs="Times New Roman" w:hint="eastAsia"/>
          <w:b/>
          <w:sz w:val="24"/>
        </w:rPr>
        <w:t xml:space="preserve">9.3-7 </w:t>
      </w:r>
      <w:r>
        <w:rPr>
          <w:rFonts w:cs="Times New Roman" w:hint="eastAsia"/>
          <w:b/>
          <w:sz w:val="24"/>
        </w:rPr>
        <w:t>接入系统方案示意图</w:t>
      </w:r>
    </w:p>
    <w:p w14:paraId="432C52B2" w14:textId="77777777" w:rsidR="00A739F2" w:rsidRDefault="00597D48">
      <w:proofErr w:type="gramStart"/>
      <w:r>
        <w:rPr>
          <w:rFonts w:hint="eastAsia"/>
        </w:rPr>
        <w:t>若项目</w:t>
      </w:r>
      <w:proofErr w:type="gramEnd"/>
      <w:r>
        <w:rPr>
          <w:rFonts w:hint="eastAsia"/>
        </w:rPr>
        <w:t>采用分期建设，可按远期规划将并网工程一次建成，后续扩建工程仅需接入一期工程建设的升压站，利用已建成的并网工程接入</w:t>
      </w:r>
      <w:r>
        <w:rPr>
          <w:rFonts w:hint="eastAsia"/>
        </w:rPr>
        <w:t>系统即可。若周边规划项目建设规模不及预期，也可采用</w:t>
      </w:r>
      <w:r>
        <w:rPr>
          <w:rFonts w:hint="eastAsia"/>
        </w:rPr>
        <w:t>220kV</w:t>
      </w:r>
      <w:r>
        <w:rPr>
          <w:rFonts w:hint="eastAsia"/>
        </w:rPr>
        <w:t>电压等级进行汇流，接入周边布日都变电站或边家塔变电站。</w:t>
      </w:r>
    </w:p>
    <w:p w14:paraId="166D615D" w14:textId="77777777" w:rsidR="00A739F2" w:rsidRDefault="00597D48">
      <w:r>
        <w:rPr>
          <w:rFonts w:hint="eastAsia"/>
        </w:rPr>
        <w:t>（</w:t>
      </w:r>
      <w:r>
        <w:rPr>
          <w:rFonts w:hint="eastAsia"/>
        </w:rPr>
        <w:t>6</w:t>
      </w:r>
      <w:r>
        <w:rPr>
          <w:rFonts w:hint="eastAsia"/>
        </w:rPr>
        <w:t>）康巴什区分布式光伏、分散式风电项目</w:t>
      </w:r>
    </w:p>
    <w:p w14:paraId="7D3CF96F" w14:textId="77777777" w:rsidR="00A739F2" w:rsidRDefault="00597D48">
      <w:pPr>
        <w:rPr>
          <w:rFonts w:eastAsia="方正仿宋_GB2312" w:cs="Times New Roman"/>
        </w:rPr>
      </w:pPr>
      <w:r>
        <w:rPr>
          <w:rFonts w:eastAsia="方正仿宋_GB2312" w:cs="Times New Roman" w:hint="eastAsia"/>
        </w:rPr>
        <w:t>按照就近接入，就地消纳的原则，在符合项目建设要求的区块开发建设分布式</w:t>
      </w:r>
      <w:proofErr w:type="gramStart"/>
      <w:r>
        <w:rPr>
          <w:rFonts w:eastAsia="方正仿宋_GB2312" w:cs="Times New Roman" w:hint="eastAsia"/>
        </w:rPr>
        <w:t>光伏及分散式</w:t>
      </w:r>
      <w:proofErr w:type="gramEnd"/>
      <w:r>
        <w:rPr>
          <w:rFonts w:eastAsia="方正仿宋_GB2312" w:cs="Times New Roman" w:hint="eastAsia"/>
        </w:rPr>
        <w:t>风电项目。</w:t>
      </w:r>
    </w:p>
    <w:p w14:paraId="273A108F" w14:textId="77777777" w:rsidR="00A739F2" w:rsidRDefault="00597D48">
      <w:pPr>
        <w:rPr>
          <w:rFonts w:eastAsia="方正仿宋_GB2312" w:cs="Times New Roman"/>
        </w:rPr>
      </w:pPr>
      <w:r>
        <w:rPr>
          <w:rFonts w:eastAsia="方正仿宋_GB2312" w:cs="Times New Roman" w:hint="eastAsia"/>
        </w:rPr>
        <w:t>高速护坡、枢纽分布式光</w:t>
      </w:r>
      <w:proofErr w:type="gramStart"/>
      <w:r>
        <w:rPr>
          <w:rFonts w:eastAsia="方正仿宋_GB2312" w:cs="Times New Roman" w:hint="eastAsia"/>
        </w:rPr>
        <w:t>伏项目</w:t>
      </w:r>
      <w:proofErr w:type="gramEnd"/>
      <w:r>
        <w:rPr>
          <w:rFonts w:eastAsia="方正仿宋_GB2312" w:cs="Times New Roman" w:hint="eastAsia"/>
        </w:rPr>
        <w:t>优先汇集至附近道路服务</w:t>
      </w:r>
      <w:r>
        <w:rPr>
          <w:rFonts w:eastAsia="方正仿宋_GB2312" w:cs="Times New Roman" w:hint="eastAsia"/>
        </w:rPr>
        <w:lastRenderedPageBreak/>
        <w:t>区、加油站等，通过配套建设</w:t>
      </w:r>
      <w:proofErr w:type="gramStart"/>
      <w:r>
        <w:rPr>
          <w:rFonts w:eastAsia="方正仿宋_GB2312" w:cs="Times New Roman" w:hint="eastAsia"/>
        </w:rPr>
        <w:t>充换电</w:t>
      </w:r>
      <w:proofErr w:type="gramEnd"/>
      <w:r>
        <w:rPr>
          <w:rFonts w:eastAsia="方正仿宋_GB2312" w:cs="Times New Roman" w:hint="eastAsia"/>
        </w:rPr>
        <w:t>及储能装置，形成</w:t>
      </w:r>
      <w:proofErr w:type="gramStart"/>
      <w:r>
        <w:rPr>
          <w:rFonts w:eastAsia="方正仿宋_GB2312" w:cs="Times New Roman" w:hint="eastAsia"/>
        </w:rPr>
        <w:t>光储充</w:t>
      </w:r>
      <w:proofErr w:type="gramEnd"/>
      <w:r>
        <w:rPr>
          <w:rFonts w:eastAsia="方正仿宋_GB2312" w:cs="Times New Roman" w:hint="eastAsia"/>
        </w:rPr>
        <w:t>一体化项目。</w:t>
      </w:r>
    </w:p>
    <w:p w14:paraId="799A13E4" w14:textId="77777777" w:rsidR="00A739F2" w:rsidRDefault="00597D48">
      <w:r>
        <w:rPr>
          <w:rFonts w:hint="eastAsia"/>
        </w:rPr>
        <w:t>康巴什区分散式风电场址位于康巴什区哈巴格希社区北部，北侧紧邻装备制造产业园，装机容量</w:t>
      </w:r>
      <w:r>
        <w:rPr>
          <w:rFonts w:hint="eastAsia"/>
        </w:rPr>
        <w:t>3</w:t>
      </w:r>
      <w:r>
        <w:rPr>
          <w:rFonts w:hint="eastAsia"/>
        </w:rPr>
        <w:t>万千瓦</w:t>
      </w:r>
      <w:r>
        <w:rPr>
          <w:rFonts w:eastAsia="方正仿宋_GB2312" w:cs="Times New Roman" w:hint="eastAsia"/>
        </w:rPr>
        <w:t>。规划建设一座</w:t>
      </w:r>
      <w:r>
        <w:rPr>
          <w:rFonts w:eastAsia="方正仿宋_GB2312" w:cs="Times New Roman" w:hint="eastAsia"/>
        </w:rPr>
        <w:t>35kV</w:t>
      </w:r>
      <w:r>
        <w:rPr>
          <w:rFonts w:eastAsia="方正仿宋_GB2312" w:cs="Times New Roman" w:hint="eastAsia"/>
        </w:rPr>
        <w:t>开关站，以</w:t>
      </w:r>
      <w:r>
        <w:rPr>
          <w:rFonts w:eastAsia="方正仿宋_GB2312" w:cs="Times New Roman" w:hint="eastAsia"/>
        </w:rPr>
        <w:t>35kV</w:t>
      </w:r>
      <w:r>
        <w:rPr>
          <w:rFonts w:eastAsia="方正仿宋_GB2312" w:cs="Times New Roman" w:hint="eastAsia"/>
        </w:rPr>
        <w:t>电压等级接入</w:t>
      </w:r>
      <w:r>
        <w:rPr>
          <w:rFonts w:eastAsia="方正仿宋_GB2312" w:cs="Times New Roman" w:hint="eastAsia"/>
        </w:rPr>
        <w:t>产业园区新增用电负荷变电站。</w:t>
      </w:r>
    </w:p>
    <w:p w14:paraId="26F9F8C8" w14:textId="77777777" w:rsidR="00A739F2" w:rsidRDefault="00597D48">
      <w:pPr>
        <w:keepNext/>
        <w:widowControl/>
        <w:kinsoku w:val="0"/>
        <w:autoSpaceDE w:val="0"/>
        <w:autoSpaceDN w:val="0"/>
        <w:adjustRightInd w:val="0"/>
        <w:spacing w:before="97" w:line="221" w:lineRule="auto"/>
        <w:ind w:left="601" w:firstLineChars="0" w:firstLine="0"/>
        <w:jc w:val="left"/>
        <w:textAlignment w:val="baseline"/>
        <w:outlineLvl w:val="0"/>
        <w:rPr>
          <w:rFonts w:eastAsia="黑体" w:cs="黑体"/>
          <w:snapToGrid w:val="0"/>
          <w:color w:val="000000"/>
          <w:spacing w:val="-2"/>
          <w:kern w:val="0"/>
          <w:szCs w:val="32"/>
        </w:rPr>
      </w:pPr>
      <w:bookmarkStart w:id="352" w:name="_Toc12355"/>
      <w:bookmarkStart w:id="353" w:name="_Toc14893"/>
      <w:bookmarkStart w:id="354" w:name="_Toc9199"/>
      <w:bookmarkStart w:id="355" w:name="_Toc11502"/>
      <w:bookmarkStart w:id="356" w:name="_Toc28072"/>
      <w:bookmarkStart w:id="357" w:name="_Toc8272"/>
      <w:bookmarkStart w:id="358" w:name="_Toc20172"/>
      <w:bookmarkStart w:id="359" w:name="_Toc12960"/>
      <w:r>
        <w:rPr>
          <w:rFonts w:eastAsia="黑体" w:cs="黑体" w:hint="eastAsia"/>
          <w:snapToGrid w:val="0"/>
          <w:color w:val="000000"/>
          <w:spacing w:val="-2"/>
          <w:kern w:val="0"/>
          <w:szCs w:val="32"/>
        </w:rPr>
        <w:t>十、保障措施</w:t>
      </w:r>
      <w:bookmarkEnd w:id="352"/>
      <w:bookmarkEnd w:id="353"/>
      <w:bookmarkEnd w:id="354"/>
      <w:bookmarkEnd w:id="355"/>
      <w:bookmarkEnd w:id="356"/>
      <w:bookmarkEnd w:id="357"/>
      <w:bookmarkEnd w:id="358"/>
      <w:bookmarkEnd w:id="359"/>
    </w:p>
    <w:p w14:paraId="5EC9DA4F" w14:textId="77777777" w:rsidR="00A739F2" w:rsidRDefault="00597D48">
      <w:pPr>
        <w:pStyle w:val="af6"/>
        <w:rPr>
          <w:rFonts w:ascii="Times New Roman" w:hAnsi="Times New Roman"/>
        </w:rPr>
      </w:pPr>
      <w:bookmarkStart w:id="360" w:name="_Toc7790"/>
      <w:bookmarkStart w:id="361" w:name="_Toc21085"/>
      <w:bookmarkStart w:id="362" w:name="_Toc31012"/>
      <w:bookmarkStart w:id="363" w:name="_Toc21554"/>
      <w:bookmarkStart w:id="364" w:name="_Toc30596"/>
      <w:bookmarkStart w:id="365" w:name="_Toc7421"/>
      <w:bookmarkStart w:id="366" w:name="_Toc7489"/>
      <w:bookmarkStart w:id="367" w:name="_Toc30392"/>
      <w:r>
        <w:rPr>
          <w:rFonts w:ascii="Times New Roman" w:hAnsi="Times New Roman" w:hint="eastAsia"/>
        </w:rPr>
        <w:t>（一）</w:t>
      </w:r>
      <w:bookmarkEnd w:id="360"/>
      <w:bookmarkEnd w:id="361"/>
      <w:bookmarkEnd w:id="362"/>
      <w:bookmarkEnd w:id="363"/>
      <w:bookmarkEnd w:id="364"/>
      <w:bookmarkEnd w:id="365"/>
      <w:bookmarkEnd w:id="366"/>
      <w:r>
        <w:rPr>
          <w:rFonts w:ascii="Times New Roman" w:hAnsi="Times New Roman" w:hint="eastAsia"/>
        </w:rPr>
        <w:t>加强组织领导</w:t>
      </w:r>
      <w:bookmarkEnd w:id="367"/>
    </w:p>
    <w:p w14:paraId="00C8F7BF" w14:textId="77777777" w:rsidR="00A739F2" w:rsidRDefault="00597D48">
      <w:pPr>
        <w:rPr>
          <w:rFonts w:eastAsia="黑体" w:cs="黑体"/>
          <w:snapToGrid w:val="0"/>
          <w:color w:val="000000"/>
          <w:spacing w:val="-2"/>
          <w:kern w:val="0"/>
          <w:sz w:val="30"/>
          <w:szCs w:val="30"/>
        </w:rPr>
      </w:pPr>
      <w:r>
        <w:rPr>
          <w:rFonts w:hint="eastAsia"/>
        </w:rPr>
        <w:t>成立康巴什区新能源发展领导小组，全面负责康巴什区新能源开发进程的统筹协调和整体推进，为新能源发展提供坚强组织保证。强化全区新能源规划的指导作用，相关</w:t>
      </w:r>
      <w:r>
        <w:t>部门</w:t>
      </w:r>
      <w:r>
        <w:rPr>
          <w:rFonts w:hint="eastAsia"/>
        </w:rPr>
        <w:t>要</w:t>
      </w:r>
      <w:r>
        <w:t>强化</w:t>
      </w:r>
      <w:r>
        <w:rPr>
          <w:rFonts w:hint="eastAsia"/>
        </w:rPr>
        <w:t>主体</w:t>
      </w:r>
      <w:r>
        <w:t>责任，</w:t>
      </w:r>
      <w:r>
        <w:rPr>
          <w:rFonts w:hint="eastAsia"/>
        </w:rPr>
        <w:t>将规划</w:t>
      </w:r>
      <w:r>
        <w:t>方案</w:t>
      </w:r>
      <w:r>
        <w:rPr>
          <w:rFonts w:hint="eastAsia"/>
        </w:rPr>
        <w:t>与本地区能源发展规划及相关专项规划相</w:t>
      </w:r>
      <w:r>
        <w:t>衔接，</w:t>
      </w:r>
      <w:r>
        <w:rPr>
          <w:rFonts w:hint="eastAsia"/>
        </w:rPr>
        <w:t>将规划方案</w:t>
      </w:r>
      <w:r>
        <w:t>充分细化并落实到位，</w:t>
      </w:r>
      <w:r>
        <w:rPr>
          <w:rFonts w:hint="eastAsia"/>
        </w:rPr>
        <w:t>实现同向引领、协调推进。坚持上下联动，部门联动，形成合力，</w:t>
      </w:r>
      <w:proofErr w:type="gramStart"/>
      <w:r>
        <w:rPr>
          <w:rFonts w:hint="eastAsia"/>
        </w:rPr>
        <w:t>助力全市</w:t>
      </w:r>
      <w:proofErr w:type="gramEnd"/>
      <w:r>
        <w:t>新能源高质量</w:t>
      </w:r>
      <w:r>
        <w:rPr>
          <w:rFonts w:hint="eastAsia"/>
        </w:rPr>
        <w:t>发</w:t>
      </w:r>
      <w:r>
        <w:t>展。</w:t>
      </w:r>
    </w:p>
    <w:p w14:paraId="38D51535" w14:textId="77777777" w:rsidR="00A739F2" w:rsidRDefault="00597D48">
      <w:pPr>
        <w:pStyle w:val="af6"/>
        <w:rPr>
          <w:rFonts w:ascii="Times New Roman" w:hAnsi="Times New Roman"/>
        </w:rPr>
      </w:pPr>
      <w:bookmarkStart w:id="368" w:name="_Toc13737"/>
      <w:bookmarkStart w:id="369" w:name="_Toc16897"/>
      <w:bookmarkStart w:id="370" w:name="_Toc8668"/>
      <w:bookmarkStart w:id="371" w:name="_Toc31753"/>
      <w:bookmarkStart w:id="372" w:name="_Toc16448"/>
      <w:bookmarkStart w:id="373" w:name="_Toc5726"/>
      <w:bookmarkStart w:id="374" w:name="_Toc18590"/>
      <w:r>
        <w:rPr>
          <w:rFonts w:ascii="Times New Roman" w:hAnsi="Times New Roman" w:hint="eastAsia"/>
        </w:rPr>
        <w:t>（二）</w:t>
      </w:r>
      <w:bookmarkEnd w:id="368"/>
      <w:bookmarkEnd w:id="369"/>
      <w:bookmarkEnd w:id="370"/>
      <w:bookmarkEnd w:id="371"/>
      <w:bookmarkEnd w:id="372"/>
      <w:bookmarkEnd w:id="373"/>
      <w:r>
        <w:rPr>
          <w:rFonts w:ascii="Times New Roman" w:hAnsi="Times New Roman" w:hint="eastAsia"/>
        </w:rPr>
        <w:t>优化土地配置</w:t>
      </w:r>
      <w:bookmarkEnd w:id="374"/>
    </w:p>
    <w:p w14:paraId="619B5C48" w14:textId="77777777" w:rsidR="00A739F2" w:rsidRDefault="00597D48">
      <w:r>
        <w:rPr>
          <w:rFonts w:hint="eastAsia"/>
        </w:rPr>
        <w:t>充分发挥土地利用总体规划的统筹管控作用，新能源项目用地必须符合土地利用总体规划，严格保护耕地，优先利用沙地、空闲地、荒山荒坡等土地开发新能源项目。</w:t>
      </w:r>
    </w:p>
    <w:p w14:paraId="20302D25" w14:textId="77777777" w:rsidR="00A739F2" w:rsidRDefault="00597D48">
      <w:r>
        <w:rPr>
          <w:rFonts w:hint="eastAsia"/>
        </w:rPr>
        <w:t>统筹考虑生态环保、林业、土地等方面影响，做好新能源</w:t>
      </w:r>
      <w:r>
        <w:rPr>
          <w:rFonts w:hint="eastAsia"/>
        </w:rPr>
        <w:lastRenderedPageBreak/>
        <w:t>开发与相关规划的衔接。对规划建设的新能源项目，在建设用地指标方面给予重点支持。同时加大节约集约用地力度，严格执行建设用地标准，积极发展板下经济，促进土地利用模式和经济发展方式转变。</w:t>
      </w:r>
    </w:p>
    <w:p w14:paraId="7340A8FF" w14:textId="77777777" w:rsidR="00A739F2" w:rsidRDefault="00597D48">
      <w:pPr>
        <w:pStyle w:val="af6"/>
        <w:rPr>
          <w:rFonts w:ascii="Times New Roman" w:hAnsi="Times New Roman"/>
        </w:rPr>
      </w:pPr>
      <w:bookmarkStart w:id="375" w:name="_Toc15436"/>
      <w:bookmarkStart w:id="376" w:name="_Toc7374"/>
      <w:bookmarkStart w:id="377" w:name="_Toc7825"/>
      <w:bookmarkStart w:id="378" w:name="_Toc32233"/>
      <w:bookmarkStart w:id="379" w:name="_Toc20804"/>
      <w:bookmarkStart w:id="380" w:name="_Toc958"/>
      <w:bookmarkStart w:id="381" w:name="_Toc19434"/>
      <w:r>
        <w:rPr>
          <w:rFonts w:ascii="Times New Roman" w:hAnsi="Times New Roman" w:hint="eastAsia"/>
        </w:rPr>
        <w:t>（三）加强金融财政支持</w:t>
      </w:r>
      <w:bookmarkEnd w:id="375"/>
      <w:bookmarkEnd w:id="376"/>
      <w:bookmarkEnd w:id="377"/>
      <w:bookmarkEnd w:id="378"/>
      <w:bookmarkEnd w:id="379"/>
      <w:bookmarkEnd w:id="380"/>
      <w:bookmarkEnd w:id="381"/>
    </w:p>
    <w:p w14:paraId="12A0468F" w14:textId="77777777" w:rsidR="00A739F2" w:rsidRDefault="00597D48">
      <w:pPr>
        <w:rPr>
          <w:rFonts w:eastAsia="方正楷体_GBK" w:cs="Times New Roman"/>
        </w:rPr>
      </w:pPr>
      <w:r>
        <w:rPr>
          <w:rFonts w:hint="eastAsia"/>
        </w:rPr>
        <w:t>健全完善投融资机制，拓宽投融资渠道，充分发挥政府财政资金作用，对重点示范性项目提供一定的财政支持，带动企业与</w:t>
      </w:r>
      <w:r>
        <w:rPr>
          <w:rFonts w:hint="eastAsia"/>
        </w:rPr>
        <w:t>社会投资，不断扩大投资规模。整合现有政策渠道，完善清洁能源资金支持制度，加大对清洁能源发展的支持力度。继续安排财政预算内投资，支持电网改造升级、供储电设备建设、清洁能源自主创新、清洁能源战略性新兴产业、节能减排等领域发展，研究建立健全可再生能源投入长效机制。创新适应可再生能源产业的融资方式和金融服务模式，建立和完善可再生能源产业</w:t>
      </w:r>
      <w:proofErr w:type="gramStart"/>
      <w:r>
        <w:rPr>
          <w:rFonts w:hint="eastAsia"/>
        </w:rPr>
        <w:t>链企业</w:t>
      </w:r>
      <w:proofErr w:type="gramEnd"/>
      <w:r>
        <w:rPr>
          <w:rFonts w:hint="eastAsia"/>
        </w:rPr>
        <w:t>信用担保体系，提高中小企业融资能力，扩大融资规模，采取多种手段保障资金需求。</w:t>
      </w:r>
    </w:p>
    <w:p w14:paraId="29BFA29C" w14:textId="77777777" w:rsidR="00A739F2" w:rsidRDefault="00597D48">
      <w:pPr>
        <w:pStyle w:val="af6"/>
        <w:rPr>
          <w:rFonts w:ascii="Times New Roman" w:hAnsi="Times New Roman"/>
        </w:rPr>
      </w:pPr>
      <w:bookmarkStart w:id="382" w:name="_Toc9332"/>
      <w:bookmarkStart w:id="383" w:name="_Toc22924"/>
      <w:bookmarkStart w:id="384" w:name="_Toc12453"/>
      <w:bookmarkStart w:id="385" w:name="_Toc31782"/>
      <w:bookmarkStart w:id="386" w:name="_Toc23803"/>
      <w:bookmarkStart w:id="387" w:name="_Toc6027"/>
      <w:bookmarkStart w:id="388" w:name="_Toc24680"/>
      <w:bookmarkStart w:id="389" w:name="_Toc17570"/>
      <w:r>
        <w:rPr>
          <w:rFonts w:ascii="Times New Roman" w:hAnsi="Times New Roman" w:hint="eastAsia"/>
        </w:rPr>
        <w:t>（四）</w:t>
      </w:r>
      <w:proofErr w:type="gramStart"/>
      <w:r>
        <w:rPr>
          <w:rFonts w:ascii="Times New Roman" w:hAnsi="Times New Roman" w:hint="eastAsia"/>
        </w:rPr>
        <w:t>统筹源网建设</w:t>
      </w:r>
      <w:bookmarkEnd w:id="382"/>
      <w:bookmarkEnd w:id="383"/>
      <w:bookmarkEnd w:id="384"/>
      <w:bookmarkEnd w:id="385"/>
      <w:bookmarkEnd w:id="386"/>
      <w:bookmarkEnd w:id="387"/>
      <w:bookmarkEnd w:id="388"/>
      <w:bookmarkEnd w:id="389"/>
      <w:proofErr w:type="gramEnd"/>
    </w:p>
    <w:p w14:paraId="37CDF92A" w14:textId="77777777" w:rsidR="00A739F2" w:rsidRDefault="00597D48">
      <w:pPr>
        <w:rPr>
          <w:rFonts w:eastAsia="黑体" w:cs="黑体"/>
          <w:snapToGrid w:val="0"/>
          <w:color w:val="000000"/>
          <w:spacing w:val="-2"/>
          <w:kern w:val="0"/>
          <w:sz w:val="30"/>
          <w:szCs w:val="30"/>
        </w:rPr>
      </w:pPr>
      <w:r>
        <w:rPr>
          <w:rFonts w:eastAsia="方正仿宋_GB2312" w:cs="Times New Roman" w:hint="eastAsia"/>
        </w:rPr>
        <w:t>重视新能源开发</w:t>
      </w:r>
      <w:r>
        <w:rPr>
          <w:rFonts w:eastAsia="方正仿宋_GB2312" w:cs="Times New Roman"/>
        </w:rPr>
        <w:t>与电网规划</w:t>
      </w:r>
      <w:r>
        <w:rPr>
          <w:rFonts w:eastAsia="方正仿宋_GB2312" w:cs="Times New Roman" w:hint="eastAsia"/>
        </w:rPr>
        <w:t>相衔接，统筹</w:t>
      </w:r>
      <w:r>
        <w:rPr>
          <w:rFonts w:eastAsia="方正仿宋_GB2312" w:cs="Times New Roman"/>
        </w:rPr>
        <w:t>电网</w:t>
      </w:r>
      <w:r>
        <w:rPr>
          <w:rFonts w:eastAsia="方正仿宋_GB2312" w:cs="Times New Roman" w:hint="eastAsia"/>
        </w:rPr>
        <w:t>发展规划、电力送出通道与</w:t>
      </w:r>
      <w:r>
        <w:rPr>
          <w:rFonts w:eastAsia="方正仿宋_GB2312" w:cs="Times New Roman"/>
        </w:rPr>
        <w:t>新能源</w:t>
      </w:r>
      <w:r>
        <w:rPr>
          <w:rFonts w:eastAsia="方正仿宋_GB2312" w:cs="Times New Roman" w:hint="eastAsia"/>
        </w:rPr>
        <w:t>布局相</w:t>
      </w:r>
      <w:r>
        <w:rPr>
          <w:rFonts w:eastAsia="方正仿宋_GB2312" w:cs="Times New Roman"/>
        </w:rPr>
        <w:t>适应</w:t>
      </w:r>
      <w:r>
        <w:rPr>
          <w:rFonts w:eastAsia="方正仿宋_GB2312" w:cs="Times New Roman" w:hint="eastAsia"/>
        </w:rPr>
        <w:t>。结合不同工程特点和建设周期，衔接好</w:t>
      </w:r>
      <w:proofErr w:type="gramStart"/>
      <w:r>
        <w:rPr>
          <w:rFonts w:eastAsia="方正仿宋_GB2312" w:cs="Times New Roman" w:hint="eastAsia"/>
        </w:rPr>
        <w:t>网源建设</w:t>
      </w:r>
      <w:proofErr w:type="gramEnd"/>
      <w:r>
        <w:rPr>
          <w:rFonts w:eastAsia="方正仿宋_GB2312" w:cs="Times New Roman" w:hint="eastAsia"/>
        </w:rPr>
        <w:t>进度，保障风电、光伏发电等电源项目和配套送出工程同步规划、同步核准、同步建设、同步投运，</w:t>
      </w:r>
      <w:r>
        <w:rPr>
          <w:rFonts w:eastAsia="方正仿宋_GB2312" w:cs="Times New Roman" w:hint="eastAsia"/>
        </w:rPr>
        <w:lastRenderedPageBreak/>
        <w:t>做到电源与电网协同发展。加强政府与电网企业之间的协调沟通，形成政府引导、市场调节、企业参与的高效联动机制。</w:t>
      </w:r>
    </w:p>
    <w:p w14:paraId="73DC8676" w14:textId="77777777" w:rsidR="00A739F2" w:rsidRDefault="00597D48">
      <w:pPr>
        <w:widowControl/>
        <w:kinsoku w:val="0"/>
        <w:autoSpaceDE w:val="0"/>
        <w:autoSpaceDN w:val="0"/>
        <w:adjustRightInd w:val="0"/>
        <w:spacing w:before="97" w:line="221" w:lineRule="auto"/>
        <w:ind w:left="601" w:firstLineChars="0" w:firstLine="0"/>
        <w:jc w:val="left"/>
        <w:textAlignment w:val="baseline"/>
        <w:outlineLvl w:val="0"/>
        <w:rPr>
          <w:rFonts w:eastAsia="黑体" w:cs="黑体"/>
          <w:snapToGrid w:val="0"/>
          <w:color w:val="000000"/>
          <w:spacing w:val="-2"/>
          <w:kern w:val="0"/>
          <w:szCs w:val="32"/>
        </w:rPr>
      </w:pPr>
      <w:bookmarkStart w:id="390" w:name="_Toc29766"/>
      <w:bookmarkStart w:id="391" w:name="_Toc19266"/>
      <w:bookmarkStart w:id="392" w:name="_Toc4903"/>
      <w:bookmarkStart w:id="393" w:name="_Toc5287"/>
      <w:bookmarkStart w:id="394" w:name="_Toc23351"/>
      <w:bookmarkStart w:id="395" w:name="_Toc11184"/>
      <w:bookmarkStart w:id="396" w:name="_Toc17212"/>
      <w:bookmarkStart w:id="397" w:name="_Toc15266"/>
      <w:r>
        <w:rPr>
          <w:rFonts w:eastAsia="黑体" w:cs="黑体" w:hint="eastAsia"/>
          <w:snapToGrid w:val="0"/>
          <w:color w:val="000000"/>
          <w:spacing w:val="-2"/>
          <w:kern w:val="0"/>
          <w:szCs w:val="32"/>
        </w:rPr>
        <w:t>十一、环境影响</w:t>
      </w:r>
      <w:bookmarkEnd w:id="390"/>
      <w:bookmarkEnd w:id="391"/>
      <w:bookmarkEnd w:id="392"/>
      <w:bookmarkEnd w:id="393"/>
      <w:bookmarkEnd w:id="394"/>
      <w:bookmarkEnd w:id="395"/>
      <w:bookmarkEnd w:id="396"/>
      <w:r>
        <w:rPr>
          <w:rFonts w:eastAsia="黑体" w:cs="黑体" w:hint="eastAsia"/>
          <w:snapToGrid w:val="0"/>
          <w:color w:val="000000"/>
          <w:spacing w:val="-2"/>
          <w:kern w:val="0"/>
          <w:szCs w:val="32"/>
        </w:rPr>
        <w:t>评价</w:t>
      </w:r>
      <w:bookmarkEnd w:id="397"/>
    </w:p>
    <w:p w14:paraId="6E1F64A2" w14:textId="77777777" w:rsidR="00A739F2" w:rsidRDefault="00597D48">
      <w:pPr>
        <w:pStyle w:val="af6"/>
        <w:rPr>
          <w:rFonts w:ascii="Times New Roman" w:hAnsi="Times New Roman"/>
        </w:rPr>
      </w:pPr>
      <w:bookmarkStart w:id="398" w:name="_Toc16335"/>
      <w:r>
        <w:rPr>
          <w:rFonts w:ascii="Times New Roman" w:hAnsi="Times New Roman" w:hint="eastAsia"/>
        </w:rPr>
        <w:t>（一）环境影响分析</w:t>
      </w:r>
      <w:bookmarkEnd w:id="398"/>
    </w:p>
    <w:p w14:paraId="4564A026" w14:textId="77777777" w:rsidR="00A739F2" w:rsidRDefault="00597D48">
      <w:pPr>
        <w:rPr>
          <w:rFonts w:eastAsia="方正仿宋_GB2312" w:cs="Times New Roman"/>
        </w:rPr>
      </w:pPr>
      <w:r>
        <w:rPr>
          <w:rFonts w:eastAsia="方正仿宋_GB2312" w:cs="Times New Roman" w:hint="eastAsia"/>
        </w:rPr>
        <w:t>可再生能源开发利用可替代大量化石能源消耗、减少温室气体和污染物排放、显著增加新的就业岗位，对环境和社会发展起到重要且积极作用。风电、太阳能发电在能源生产过程中不排放污染物和温室气体，可显著减少</w:t>
      </w:r>
      <w:r>
        <w:rPr>
          <w:rFonts w:eastAsia="方正仿宋_GB2312" w:cs="Times New Roman" w:hint="eastAsia"/>
        </w:rPr>
        <w:t>各类化石能源消耗，同时降低煤炭开采的生态破坏和燃煤发电的水资源消耗。</w:t>
      </w:r>
    </w:p>
    <w:p w14:paraId="4060B10A" w14:textId="77777777" w:rsidR="00A739F2" w:rsidRDefault="00597D48">
      <w:pPr>
        <w:rPr>
          <w:rFonts w:eastAsia="方正仿宋_GB2312" w:cs="Times New Roman"/>
        </w:rPr>
      </w:pPr>
      <w:r>
        <w:rPr>
          <w:rFonts w:eastAsia="方正仿宋_GB2312" w:cs="Times New Roman" w:hint="eastAsia"/>
        </w:rPr>
        <w:t>可再生能源规模开发项目应根据有关法规要求，做好区域资源环境承载能力分析和生态环境影响预测评估，分析项目建设的环境影响，提出预防或减轻不良环境影响的政策、管理、技术措施，进一步促进可再生能源开发利用与生态环境保护协调发展。</w:t>
      </w:r>
    </w:p>
    <w:p w14:paraId="5874A14D" w14:textId="77777777" w:rsidR="00A739F2" w:rsidRDefault="00597D48">
      <w:pPr>
        <w:rPr>
          <w:rFonts w:eastAsia="方正仿宋_GB2312" w:cs="Times New Roman"/>
        </w:rPr>
      </w:pPr>
      <w:r>
        <w:rPr>
          <w:rFonts w:eastAsia="方正仿宋_GB2312" w:cs="Times New Roman" w:hint="eastAsia"/>
        </w:rPr>
        <w:t>至</w:t>
      </w:r>
      <w:r>
        <w:rPr>
          <w:rFonts w:eastAsia="方正仿宋_GB2312" w:cs="Times New Roman" w:hint="eastAsia"/>
        </w:rPr>
        <w:t>2027</w:t>
      </w:r>
      <w:r>
        <w:rPr>
          <w:rFonts w:eastAsia="方正仿宋_GB2312" w:cs="Times New Roman" w:hint="eastAsia"/>
        </w:rPr>
        <w:t>年，全区每年可再生能源发电量达到</w:t>
      </w:r>
      <w:r>
        <w:rPr>
          <w:rFonts w:eastAsia="方正仿宋_GB2312" w:cs="Times New Roman" w:hint="eastAsia"/>
        </w:rPr>
        <w:t>21</w:t>
      </w:r>
      <w:r>
        <w:rPr>
          <w:rFonts w:eastAsia="方正仿宋_GB2312" w:cs="Times New Roman" w:hint="eastAsia"/>
        </w:rPr>
        <w:t>亿千瓦时，每年可减少二氧化碳排放量约</w:t>
      </w:r>
      <w:r>
        <w:rPr>
          <w:rFonts w:eastAsia="方正仿宋_GB2312" w:cs="Times New Roman" w:hint="eastAsia"/>
        </w:rPr>
        <w:t>181</w:t>
      </w:r>
      <w:r>
        <w:rPr>
          <w:rFonts w:eastAsia="方正仿宋_GB2312" w:cs="Times New Roman" w:hint="eastAsia"/>
        </w:rPr>
        <w:t>万吨，减少二氧化硫排放量约</w:t>
      </w:r>
      <w:r>
        <w:rPr>
          <w:rFonts w:eastAsia="方正仿宋_GB2312" w:cs="Times New Roman" w:hint="eastAsia"/>
        </w:rPr>
        <w:t>357</w:t>
      </w:r>
      <w:r>
        <w:rPr>
          <w:rFonts w:eastAsia="方正仿宋_GB2312" w:cs="Times New Roman" w:hint="eastAsia"/>
        </w:rPr>
        <w:t>吨，减少氮氧化物排放约</w:t>
      </w:r>
      <w:r>
        <w:rPr>
          <w:rFonts w:eastAsia="方正仿宋_GB2312" w:cs="Times New Roman" w:hint="eastAsia"/>
        </w:rPr>
        <w:t>399</w:t>
      </w:r>
      <w:r>
        <w:rPr>
          <w:rFonts w:eastAsia="方正仿宋_GB2312" w:cs="Times New Roman" w:hint="eastAsia"/>
        </w:rPr>
        <w:t>吨。</w:t>
      </w:r>
    </w:p>
    <w:p w14:paraId="0D5CEA8E" w14:textId="77777777" w:rsidR="00A739F2" w:rsidRDefault="00597D48">
      <w:pPr>
        <w:rPr>
          <w:rFonts w:eastAsia="方正仿宋_GB2312" w:cs="Times New Roman"/>
        </w:rPr>
      </w:pPr>
      <w:r>
        <w:rPr>
          <w:rFonts w:eastAsia="方正仿宋_GB2312" w:cs="Times New Roman" w:hint="eastAsia"/>
        </w:rPr>
        <w:t>至</w:t>
      </w:r>
      <w:r>
        <w:rPr>
          <w:rFonts w:eastAsia="方正仿宋_GB2312" w:cs="Times New Roman" w:hint="eastAsia"/>
        </w:rPr>
        <w:t>2035</w:t>
      </w:r>
      <w:r>
        <w:rPr>
          <w:rFonts w:eastAsia="方正仿宋_GB2312" w:cs="Times New Roman" w:hint="eastAsia"/>
        </w:rPr>
        <w:t>年，若规划项目全部建成，全区每年可再生能源发电量达到约</w:t>
      </w:r>
      <w:r>
        <w:rPr>
          <w:rFonts w:eastAsia="方正仿宋_GB2312" w:cs="Times New Roman" w:hint="eastAsia"/>
        </w:rPr>
        <w:t>8</w:t>
      </w:r>
      <w:r>
        <w:rPr>
          <w:rFonts w:eastAsia="方正仿宋_GB2312" w:cs="Times New Roman" w:hint="eastAsia"/>
        </w:rPr>
        <w:t>0</w:t>
      </w:r>
      <w:r>
        <w:rPr>
          <w:rFonts w:eastAsia="方正仿宋_GB2312" w:cs="Times New Roman" w:hint="eastAsia"/>
        </w:rPr>
        <w:t>亿千瓦时，每年可减少二氧化碳排放量约</w:t>
      </w:r>
      <w:r>
        <w:rPr>
          <w:rFonts w:eastAsia="方正仿宋_GB2312" w:cs="Times New Roman" w:hint="eastAsia"/>
        </w:rPr>
        <w:t>688</w:t>
      </w:r>
      <w:r>
        <w:rPr>
          <w:rFonts w:eastAsia="方正仿宋_GB2312" w:cs="Times New Roman" w:hint="eastAsia"/>
        </w:rPr>
        <w:t>万吨，减少二氧化硫排放量约</w:t>
      </w:r>
      <w:r>
        <w:rPr>
          <w:rFonts w:eastAsia="方正仿宋_GB2312" w:cs="Times New Roman" w:hint="eastAsia"/>
        </w:rPr>
        <w:t>1360</w:t>
      </w:r>
      <w:r>
        <w:rPr>
          <w:rFonts w:eastAsia="方正仿宋_GB2312" w:cs="Times New Roman" w:hint="eastAsia"/>
        </w:rPr>
        <w:t>吨，减少氮氧化物排放约</w:t>
      </w:r>
      <w:r>
        <w:rPr>
          <w:rFonts w:eastAsia="方正仿宋_GB2312" w:cs="Times New Roman" w:hint="eastAsia"/>
        </w:rPr>
        <w:lastRenderedPageBreak/>
        <w:t>41520</w:t>
      </w:r>
      <w:r>
        <w:rPr>
          <w:rFonts w:eastAsia="方正仿宋_GB2312" w:cs="Times New Roman" w:hint="eastAsia"/>
        </w:rPr>
        <w:t>吨。</w:t>
      </w:r>
    </w:p>
    <w:p w14:paraId="409F0C6C" w14:textId="77777777" w:rsidR="00A739F2" w:rsidRDefault="00597D48">
      <w:pPr>
        <w:rPr>
          <w:rFonts w:eastAsia="方正仿宋_GB2312" w:cs="Times New Roman"/>
        </w:rPr>
      </w:pPr>
      <w:r>
        <w:rPr>
          <w:rFonts w:eastAsia="方正仿宋_GB2312" w:cs="方正仿宋_GB2312" w:hint="eastAsia"/>
        </w:rPr>
        <w:t>此外，每年还可减少大量的灰渣及烟尘排放，节约用水，并减少相应的废水排放，节能减</w:t>
      </w:r>
      <w:proofErr w:type="gramStart"/>
      <w:r>
        <w:rPr>
          <w:rFonts w:eastAsia="方正仿宋_GB2312" w:cs="方正仿宋_GB2312" w:hint="eastAsia"/>
        </w:rPr>
        <w:t>排效益</w:t>
      </w:r>
      <w:proofErr w:type="gramEnd"/>
      <w:r>
        <w:rPr>
          <w:rFonts w:eastAsia="方正仿宋_GB2312" w:cs="方正仿宋_GB2312" w:hint="eastAsia"/>
        </w:rPr>
        <w:t>显</w:t>
      </w:r>
      <w:r>
        <w:rPr>
          <w:rFonts w:eastAsia="方正仿宋_GB2312" w:cs="Times New Roman" w:hint="eastAsia"/>
        </w:rPr>
        <w:t>著。</w:t>
      </w:r>
    </w:p>
    <w:p w14:paraId="30AC65F9" w14:textId="77777777" w:rsidR="00A739F2" w:rsidRDefault="00597D48">
      <w:pPr>
        <w:pStyle w:val="af6"/>
        <w:rPr>
          <w:rFonts w:ascii="Times New Roman" w:hAnsi="Times New Roman"/>
        </w:rPr>
      </w:pPr>
      <w:bookmarkStart w:id="399" w:name="_Toc27687"/>
      <w:r>
        <w:rPr>
          <w:rFonts w:ascii="Times New Roman" w:hAnsi="Times New Roman" w:hint="eastAsia"/>
        </w:rPr>
        <w:t>（二）环境保护措施</w:t>
      </w:r>
      <w:bookmarkEnd w:id="399"/>
    </w:p>
    <w:p w14:paraId="60D0DA05" w14:textId="77777777" w:rsidR="00A739F2" w:rsidRDefault="00597D48">
      <w:pPr>
        <w:rPr>
          <w:rFonts w:eastAsia="方正仿宋_GB2312" w:cs="Times New Roman"/>
        </w:rPr>
      </w:pPr>
      <w:r>
        <w:rPr>
          <w:rFonts w:eastAsia="方正仿宋_GB2312" w:cs="Times New Roman" w:hint="eastAsia"/>
        </w:rPr>
        <w:t>加强项目开发设计环节环保措施。项目开发严格按照</w:t>
      </w:r>
      <w:r>
        <w:rPr>
          <w:rFonts w:eastAsia="方正仿宋_GB2312" w:cs="Times New Roman" w:hint="eastAsia"/>
        </w:rPr>
        <w:t>《中华人民共和国环境影响评价法》</w:t>
      </w:r>
      <w:r>
        <w:rPr>
          <w:rFonts w:eastAsia="方正仿宋_GB2312" w:cs="Times New Roman" w:hint="eastAsia"/>
        </w:rPr>
        <w:t>相关规定开展环境影响评价，尤其是对城市气候、生态环境等方面的影响进行针对性的评估分析。在项目设计过程中，优化技术方案，尽可能减少地表植被破坏，节省土地资源。积极采用低损耗设备材料，结合远景发展合理选择变压器</w:t>
      </w:r>
      <w:r>
        <w:rPr>
          <w:rFonts w:eastAsia="方正仿宋_GB2312" w:cs="Times New Roman" w:hint="eastAsia"/>
        </w:rPr>
        <w:t>及送出线路容量，避免重复建设。</w:t>
      </w:r>
    </w:p>
    <w:p w14:paraId="4748E67B" w14:textId="77777777" w:rsidR="00A739F2" w:rsidRDefault="00597D48">
      <w:pPr>
        <w:rPr>
          <w:rFonts w:eastAsia="方正仿宋_GB2312" w:cs="Times New Roman"/>
        </w:rPr>
      </w:pPr>
      <w:r>
        <w:rPr>
          <w:rFonts w:eastAsia="方正仿宋_GB2312" w:cs="Times New Roman" w:hint="eastAsia"/>
        </w:rPr>
        <w:t>加强项目建设运维环节环保措施。强化施工期规范管理，加强污水、生活垃圾、固体废物等集中处理处置设施和收运体系建设，落实环境影响评价中提出的各项环保措施。强化运行期环保监测，加快环境监测、监控体系设应急处置能力建设，确保项目周边电磁环境、声环境、水环境等指标满足国家标准要求。</w:t>
      </w:r>
    </w:p>
    <w:p w14:paraId="52BECF67" w14:textId="77777777" w:rsidR="00A739F2" w:rsidRDefault="00597D48">
      <w:pPr>
        <w:rPr>
          <w:rFonts w:eastAsia="方正仿宋_GB2312" w:cs="Times New Roman"/>
        </w:rPr>
      </w:pPr>
      <w:r>
        <w:rPr>
          <w:rFonts w:eastAsia="方正仿宋_GB2312" w:cs="Times New Roman" w:hint="eastAsia"/>
        </w:rPr>
        <w:t>本规划的实施对康巴什区的环境影响合理可控，可以促进康巴什区能源转型，实现城市与环境协调发展。</w:t>
      </w:r>
    </w:p>
    <w:sectPr w:rsidR="00A739F2">
      <w:pgSz w:w="11906" w:h="16838"/>
      <w:pgMar w:top="2098" w:right="1474" w:bottom="1984" w:left="1587" w:header="850" w:footer="1417" w:gutter="0"/>
      <w:cols w:space="0"/>
      <w:docGrid w:type="linesAndChars" w:linePitch="312"/>
    </w:sectPr>
  </w:body>
</w:document>
</file>

<file path=word/customizations.xml><?xml version="1.0" encoding="utf-8"?>
<wne:tcg xmlns:r="http://schemas.openxmlformats.org/officeDocument/2006/relationships" xmlns:wne="http://schemas.microsoft.com/office/word/2006/wordml">
  <wne:keymaps>
    <wne:keymap wne:kcmPrimary="02DE">
      <wne:acd wne:acdName="acd0"/>
    </wne:keymap>
  </wne:keymaps>
  <wne:toolbars>
    <wne:acdManifest>
      <wne:acdEntry wne:acdName="acd0"/>
    </wne:acdManifest>
  </wne:toolbars>
  <wne:acds>
    <wne:acd wne:argValue="AQAAAA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7CDDB" w14:textId="77777777" w:rsidR="00597D48" w:rsidRDefault="00597D48">
      <w:r>
        <w:separator/>
      </w:r>
    </w:p>
  </w:endnote>
  <w:endnote w:type="continuationSeparator" w:id="0">
    <w:p w14:paraId="45686055" w14:textId="77777777" w:rsidR="00597D48" w:rsidRDefault="0059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auto"/>
    <w:pitch w:val="default"/>
    <w:sig w:usb0="00000001" w:usb1="080E0000" w:usb2="00000000" w:usb3="00000000" w:csb0="00040000" w:csb1="00000000"/>
    <w:embedRegular r:id="rId1" w:fontKey="{9EF2917A-A81F-43B8-9861-A222D12E04FF}"/>
    <w:embedBold r:id="rId2" w:subsetted="1" w:fontKey="{ECB95B3E-1C8B-4B72-9107-44900708270B}"/>
  </w:font>
  <w:font w:name="黑体">
    <w:altName w:val="SimHei"/>
    <w:panose1 w:val="02010609060101010101"/>
    <w:charset w:val="86"/>
    <w:family w:val="modern"/>
    <w:pitch w:val="fixed"/>
    <w:sig w:usb0="800002BF" w:usb1="38CF7CFA" w:usb2="00000016" w:usb3="00000000" w:csb0="00040001" w:csb1="00000000"/>
    <w:embedRegular r:id="rId3" w:subsetted="1" w:fontKey="{90216E55-DB7C-4384-A682-9BD3F8477043}"/>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embedRegular r:id="rId4" w:subsetted="1" w:fontKey="{20F41F87-F6FC-44F2-9614-10510ADF2EA3}"/>
  </w:font>
  <w:font w:name="楷体">
    <w:panose1 w:val="02010609060101010101"/>
    <w:charset w:val="86"/>
    <w:family w:val="modern"/>
    <w:pitch w:val="fixed"/>
    <w:sig w:usb0="800002BF" w:usb1="38CF7CFA" w:usb2="00000016" w:usb3="00000000" w:csb0="00040001" w:csb1="00000000"/>
    <w:embedRegular r:id="rId5" w:subsetted="1" w:fontKey="{E3EBF7E9-39B7-455D-A033-5ACE42F2A700}"/>
  </w:font>
  <w:font w:name="仿宋">
    <w:panose1 w:val="02010609060101010101"/>
    <w:charset w:val="86"/>
    <w:family w:val="modern"/>
    <w:pitch w:val="fixed"/>
    <w:sig w:usb0="800002BF" w:usb1="38CF7CFA" w:usb2="00000016" w:usb3="00000000" w:csb0="00040001" w:csb1="00000000"/>
    <w:embedRegular r:id="rId6" w:subsetted="1" w:fontKey="{FCEA1824-5E28-4A79-8A55-B02180B4D135}"/>
    <w:embedBold r:id="rId7" w:subsetted="1" w:fontKey="{7F6BF5C6-008C-43BB-B0FC-A97C065315AD}"/>
  </w:font>
  <w:font w:name="华文中宋">
    <w:panose1 w:val="02010600040101010101"/>
    <w:charset w:val="86"/>
    <w:family w:val="auto"/>
    <w:pitch w:val="variable"/>
    <w:sig w:usb0="00000287" w:usb1="080F0000" w:usb2="00000010" w:usb3="00000000" w:csb0="0004009F" w:csb1="00000000"/>
    <w:embedRegular r:id="rId8" w:subsetted="1" w:fontKey="{437A36E6-37F4-4346-898B-C60693B8AE07}"/>
  </w:font>
  <w:font w:name="Arial">
    <w:panose1 w:val="020B0604020202020204"/>
    <w:charset w:val="00"/>
    <w:family w:val="swiss"/>
    <w:pitch w:val="variable"/>
    <w:sig w:usb0="E0002EFF" w:usb1="C000785B" w:usb2="00000009" w:usb3="00000000" w:csb0="000001FF" w:csb1="00000000"/>
  </w:font>
  <w:font w:name="方正楷体_GB2312">
    <w:altName w:val="宋体"/>
    <w:charset w:val="86"/>
    <w:family w:val="auto"/>
    <w:pitch w:val="default"/>
    <w:sig w:usb0="00000000" w:usb1="00000000" w:usb2="00000012" w:usb3="00000000" w:csb0="00040001" w:csb1="00000000"/>
    <w:embedRegular r:id="rId9" w:fontKey="{8745B659-7380-4D87-83F6-33739EA7FBCC}"/>
  </w:font>
  <w:font w:name="方正楷体_GBK">
    <w:altName w:val="微软雅黑"/>
    <w:charset w:val="86"/>
    <w:family w:val="script"/>
    <w:pitch w:val="default"/>
    <w:sig w:usb0="00000000" w:usb1="00000000" w:usb2="00000016" w:usb3="00000000" w:csb0="00040000" w:csb1="00000000"/>
  </w:font>
  <w:font w:name="方正仿宋_GB2312">
    <w:altName w:val="仿宋"/>
    <w:charset w:val="86"/>
    <w:family w:val="auto"/>
    <w:pitch w:val="default"/>
    <w:sig w:usb0="00000000" w:usb1="00000000" w:usb2="00000012" w:usb3="00000000" w:csb0="00040001" w:csb1="00000000"/>
    <w:embedRegular r:id="rId10" w:subsetted="1" w:fontKey="{CA975B7C-DFD1-455C-8723-45FB5EA2F64B}"/>
  </w:font>
  <w:font w:name="方正仿宋_GBK">
    <w:altName w:val="微软雅黑"/>
    <w:charset w:val="86"/>
    <w:family w:val="script"/>
    <w:pitch w:val="default"/>
    <w:sig w:usb0="00000000" w:usb1="00000000" w:usb2="00082016" w:usb3="00000000" w:csb0="00040001" w:csb1="00000000"/>
  </w:font>
  <w:font w:name="楷体_GB2312">
    <w:altName w:val="楷体"/>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3D0C" w14:textId="77777777" w:rsidR="00A739F2" w:rsidRDefault="00A739F2">
    <w:pPr>
      <w:pStyle w:val="ac"/>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921CC" w14:textId="77777777" w:rsidR="00A739F2" w:rsidRDefault="00597D48">
    <w:pPr>
      <w:widowControl/>
      <w:kinsoku w:val="0"/>
      <w:autoSpaceDE w:val="0"/>
      <w:autoSpaceDN w:val="0"/>
      <w:adjustRightInd w:val="0"/>
      <w:ind w:firstLineChars="0" w:firstLine="0"/>
      <w:jc w:val="center"/>
      <w:textAlignment w:val="baseline"/>
      <w:rPr>
        <w:rFonts w:eastAsia="Times New Roman" w:cs="Times New Roman"/>
        <w:snapToGrid w:val="0"/>
        <w:color w:val="000000"/>
        <w:kern w:val="0"/>
        <w:sz w:val="24"/>
        <w:lang w:eastAsia="en-US"/>
      </w:rPr>
    </w:pPr>
    <w:r>
      <w:rPr>
        <w:noProof/>
        <w:sz w:val="24"/>
      </w:rPr>
      <mc:AlternateContent>
        <mc:Choice Requires="wps">
          <w:drawing>
            <wp:anchor distT="0" distB="0" distL="114300" distR="114300" simplePos="0" relativeHeight="251661312" behindDoc="0" locked="0" layoutInCell="1" allowOverlap="1" wp14:anchorId="2254896E" wp14:editId="2029042D">
              <wp:simplePos x="0" y="0"/>
              <wp:positionH relativeFrom="margin">
                <wp:align>center</wp:align>
              </wp:positionH>
              <wp:positionV relativeFrom="paragraph">
                <wp:posOffset>0</wp:posOffset>
              </wp:positionV>
              <wp:extent cx="587375" cy="24384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587375" cy="243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4AC2A" w14:textId="77777777" w:rsidR="00A739F2" w:rsidRDefault="00597D48">
                          <w:pPr>
                            <w:pStyle w:val="ac"/>
                            <w:ind w:firstLineChars="0" w:firstLine="0"/>
                            <w:jc w:val="center"/>
                            <w:rPr>
                              <w:rFonts w:ascii="仿宋_GB2312" w:hAnsi="仿宋_GB2312" w:cs="仿宋_GB2312"/>
                              <w:sz w:val="24"/>
                              <w:szCs w:val="36"/>
                            </w:rPr>
                          </w:pPr>
                          <w:r>
                            <w:rPr>
                              <w:rFonts w:ascii="仿宋_GB2312" w:hAnsi="仿宋_GB2312" w:cs="仿宋_GB2312" w:hint="eastAsia"/>
                              <w:sz w:val="24"/>
                              <w:szCs w:val="36"/>
                            </w:rPr>
                            <w:fldChar w:fldCharType="begin"/>
                          </w:r>
                          <w:r>
                            <w:rPr>
                              <w:rFonts w:ascii="仿宋_GB2312" w:hAnsi="仿宋_GB2312" w:cs="仿宋_GB2312" w:hint="eastAsia"/>
                              <w:sz w:val="24"/>
                              <w:szCs w:val="36"/>
                            </w:rPr>
                            <w:instrText xml:space="preserve"> PAGE  \* MERGEFORMAT </w:instrText>
                          </w:r>
                          <w:r>
                            <w:rPr>
                              <w:rFonts w:ascii="仿宋_GB2312" w:hAnsi="仿宋_GB2312" w:cs="仿宋_GB2312" w:hint="eastAsia"/>
                              <w:sz w:val="24"/>
                              <w:szCs w:val="36"/>
                            </w:rPr>
                            <w:fldChar w:fldCharType="separate"/>
                          </w:r>
                          <w:r>
                            <w:rPr>
                              <w:rFonts w:ascii="仿宋_GB2312" w:hAnsi="仿宋_GB2312" w:cs="仿宋_GB2312" w:hint="eastAsia"/>
                              <w:sz w:val="24"/>
                              <w:szCs w:val="36"/>
                            </w:rPr>
                            <w:t>1</w:t>
                          </w:r>
                          <w:r>
                            <w:rPr>
                              <w:rFonts w:ascii="仿宋_GB2312" w:hAnsi="仿宋_GB2312" w:cs="仿宋_GB2312" w:hint="eastAsia"/>
                              <w:sz w:val="24"/>
                              <w:szCs w:val="36"/>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2254896E" id="_x0000_t202" coordsize="21600,21600" o:spt="202" path="m,l,21600r21600,l21600,xe">
              <v:stroke joinstyle="miter"/>
              <v:path gradientshapeok="t" o:connecttype="rect"/>
            </v:shapetype>
            <v:shape id="文本框 28" o:spid="_x0000_s1032" type="#_x0000_t202" style="position:absolute;left:0;text-align:left;margin-left:0;margin-top:0;width:46.25pt;height:19.2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" filled="f" stroked="f" strokeweight=".5pt">
              <v:textbox inset="0,0,0,0">
                <w:txbxContent>
                  <w:p w14:paraId="63E4AC2A" w14:textId="77777777" w:rsidR="00A739F2" w:rsidRDefault="00597D48">
                    <w:pPr>
                      <w:pStyle w:val="ac"/>
                      <w:ind w:firstLineChars="0" w:firstLine="0"/>
                      <w:jc w:val="center"/>
                      <w:rPr>
                        <w:rFonts w:ascii="仿宋_GB2312" w:hAnsi="仿宋_GB2312" w:cs="仿宋_GB2312"/>
                        <w:sz w:val="24"/>
                        <w:szCs w:val="36"/>
                      </w:rPr>
                    </w:pPr>
                    <w:r>
                      <w:rPr>
                        <w:rFonts w:ascii="仿宋_GB2312" w:hAnsi="仿宋_GB2312" w:cs="仿宋_GB2312" w:hint="eastAsia"/>
                        <w:sz w:val="24"/>
                        <w:szCs w:val="36"/>
                      </w:rPr>
                      <w:fldChar w:fldCharType="begin"/>
                    </w:r>
                    <w:r>
                      <w:rPr>
                        <w:rFonts w:ascii="仿宋_GB2312" w:hAnsi="仿宋_GB2312" w:cs="仿宋_GB2312" w:hint="eastAsia"/>
                        <w:sz w:val="24"/>
                        <w:szCs w:val="36"/>
                      </w:rPr>
                      <w:instrText xml:space="preserve"> PAGE  \* MERGEFORMAT </w:instrText>
                    </w:r>
                    <w:r>
                      <w:rPr>
                        <w:rFonts w:ascii="仿宋_GB2312" w:hAnsi="仿宋_GB2312" w:cs="仿宋_GB2312" w:hint="eastAsia"/>
                        <w:sz w:val="24"/>
                        <w:szCs w:val="36"/>
                      </w:rPr>
                      <w:fldChar w:fldCharType="separate"/>
                    </w:r>
                    <w:r>
                      <w:rPr>
                        <w:rFonts w:ascii="仿宋_GB2312" w:hAnsi="仿宋_GB2312" w:cs="仿宋_GB2312" w:hint="eastAsia"/>
                        <w:sz w:val="24"/>
                        <w:szCs w:val="36"/>
                      </w:rPr>
                      <w:t>1</w:t>
                    </w:r>
                    <w:r>
                      <w:rPr>
                        <w:rFonts w:ascii="仿宋_GB2312" w:hAnsi="仿宋_GB2312" w:cs="仿宋_GB2312" w:hint="eastAsia"/>
                        <w:sz w:val="24"/>
                        <w:szCs w:val="36"/>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6F25" w14:textId="77777777" w:rsidR="00A739F2" w:rsidRDefault="00A739F2">
    <w:pPr>
      <w:widowControl/>
      <w:kinsoku w:val="0"/>
      <w:autoSpaceDE w:val="0"/>
      <w:autoSpaceDN w:val="0"/>
      <w:adjustRightInd w:val="0"/>
      <w:ind w:firstLineChars="0" w:firstLine="0"/>
      <w:jc w:val="center"/>
      <w:textAlignment w:val="baseline"/>
      <w:rPr>
        <w:rFonts w:eastAsia="Times New Roman" w:cs="Times New Roman"/>
        <w:snapToGrid w:val="0"/>
        <w:color w:val="000000"/>
        <w:kern w:val="0"/>
        <w:sz w:val="24"/>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9F6B" w14:textId="77777777" w:rsidR="00A739F2" w:rsidRDefault="00A739F2">
    <w:pPr>
      <w:pStyle w:val="ac"/>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0AE80" w14:textId="77777777" w:rsidR="00A739F2" w:rsidRDefault="00597D48">
    <w:pPr>
      <w:widowControl/>
      <w:kinsoku w:val="0"/>
      <w:autoSpaceDE w:val="0"/>
      <w:autoSpaceDN w:val="0"/>
      <w:adjustRightInd w:val="0"/>
      <w:ind w:firstLineChars="0" w:firstLine="0"/>
      <w:jc w:val="center"/>
      <w:textAlignment w:val="baseline"/>
      <w:rPr>
        <w:rFonts w:eastAsia="Times New Roman" w:cs="Times New Roman"/>
        <w:snapToGrid w:val="0"/>
        <w:color w:val="000000"/>
        <w:kern w:val="0"/>
        <w:sz w:val="24"/>
        <w:lang w:eastAsia="en-US"/>
      </w:rPr>
    </w:pPr>
    <w:r>
      <w:rPr>
        <w:noProof/>
        <w:sz w:val="24"/>
      </w:rPr>
      <mc:AlternateContent>
        <mc:Choice Requires="wps">
          <w:drawing>
            <wp:anchor distT="0" distB="0" distL="114300" distR="114300" simplePos="0" relativeHeight="251659264" behindDoc="0" locked="0" layoutInCell="1" allowOverlap="1" wp14:anchorId="27BE6188" wp14:editId="4DB062E4">
              <wp:simplePos x="0" y="0"/>
              <wp:positionH relativeFrom="margin">
                <wp:align>center</wp:align>
              </wp:positionH>
              <wp:positionV relativeFrom="paragraph">
                <wp:posOffset>0</wp:posOffset>
              </wp:positionV>
              <wp:extent cx="513715" cy="2203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13715" cy="220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91E333" w14:textId="77777777" w:rsidR="00A739F2" w:rsidRDefault="00597D48">
                          <w:pPr>
                            <w:pStyle w:val="ac"/>
                            <w:ind w:firstLineChars="0" w:firstLine="0"/>
                            <w:jc w:val="center"/>
                            <w:rPr>
                              <w:rFonts w:cs="Times New Roman"/>
                              <w:sz w:val="24"/>
                              <w:szCs w:val="36"/>
                            </w:rPr>
                          </w:pPr>
                          <w:r>
                            <w:rPr>
                              <w:rFonts w:cs="Times New Roman"/>
                              <w:sz w:val="24"/>
                              <w:szCs w:val="36"/>
                            </w:rPr>
                            <w:fldChar w:fldCharType="begin"/>
                          </w:r>
                          <w:r>
                            <w:rPr>
                              <w:rFonts w:cs="Times New Roman"/>
                              <w:sz w:val="24"/>
                              <w:szCs w:val="36"/>
                            </w:rPr>
                            <w:instrText xml:space="preserve"> PAGE  \* MERGEFORMAT </w:instrText>
                          </w:r>
                          <w:r>
                            <w:rPr>
                              <w:rFonts w:cs="Times New Roman"/>
                              <w:sz w:val="24"/>
                              <w:szCs w:val="36"/>
                            </w:rPr>
                            <w:fldChar w:fldCharType="separate"/>
                          </w:r>
                          <w:r>
                            <w:rPr>
                              <w:rFonts w:cs="Times New Roman"/>
                              <w:sz w:val="24"/>
                              <w:szCs w:val="36"/>
                            </w:rPr>
                            <w:t>2</w:t>
                          </w:r>
                          <w:r>
                            <w:rPr>
                              <w:rFonts w:cs="Times New Roman"/>
                              <w:sz w:val="24"/>
                              <w:szCs w:val="36"/>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27BE6188" id="_x0000_t202" coordsize="21600,21600" o:spt="202" path="m,l,21600r21600,l21600,xe">
              <v:stroke joinstyle="miter"/>
              <v:path gradientshapeok="t" o:connecttype="rect"/>
            </v:shapetype>
            <v:shape id="文本框 3" o:spid="_x0000_s1026" type="#_x0000_t202" style="position:absolute;left:0;text-align:left;margin-left:0;margin-top:0;width:40.45pt;height:17.3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" filled="f" stroked="f" strokeweight=".5pt">
              <v:textbox inset="0,0,0,0">
                <w:txbxContent>
                  <w:p w14:paraId="6091E333" w14:textId="77777777" w:rsidR="00A739F2" w:rsidRDefault="00597D48">
                    <w:pPr>
                      <w:pStyle w:val="ac"/>
                      <w:ind w:firstLineChars="0" w:firstLine="0"/>
                      <w:jc w:val="center"/>
                      <w:rPr>
                        <w:rFonts w:cs="Times New Roman"/>
                        <w:sz w:val="24"/>
                        <w:szCs w:val="36"/>
                      </w:rPr>
                    </w:pPr>
                    <w:r>
                      <w:rPr>
                        <w:rFonts w:cs="Times New Roman"/>
                        <w:sz w:val="24"/>
                        <w:szCs w:val="36"/>
                      </w:rPr>
                      <w:fldChar w:fldCharType="begin"/>
                    </w:r>
                    <w:r>
                      <w:rPr>
                        <w:rFonts w:cs="Times New Roman"/>
                        <w:sz w:val="24"/>
                        <w:szCs w:val="36"/>
                      </w:rPr>
                      <w:instrText xml:space="preserve"> PAGE  \* MERGEFORMAT </w:instrText>
                    </w:r>
                    <w:r>
                      <w:rPr>
                        <w:rFonts w:cs="Times New Roman"/>
                        <w:sz w:val="24"/>
                        <w:szCs w:val="36"/>
                      </w:rPr>
                      <w:fldChar w:fldCharType="separate"/>
                    </w:r>
                    <w:r>
                      <w:rPr>
                        <w:rFonts w:cs="Times New Roman"/>
                        <w:sz w:val="24"/>
                        <w:szCs w:val="36"/>
                      </w:rPr>
                      <w:t>2</w:t>
                    </w:r>
                    <w:r>
                      <w:rPr>
                        <w:rFonts w:cs="Times New Roman"/>
                        <w:sz w:val="24"/>
                        <w:szCs w:val="36"/>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A4329" w14:textId="77777777" w:rsidR="00A739F2" w:rsidRDefault="00597D48">
    <w:pPr>
      <w:pStyle w:val="ac"/>
      <w:ind w:firstLineChars="0" w:firstLine="0"/>
    </w:pPr>
    <w:r>
      <w:rPr>
        <w:noProof/>
      </w:rPr>
      <mc:AlternateContent>
        <mc:Choice Requires="wps">
          <w:drawing>
            <wp:anchor distT="0" distB="0" distL="114300" distR="114300" simplePos="0" relativeHeight="251664384" behindDoc="0" locked="0" layoutInCell="1" allowOverlap="1" wp14:anchorId="02CE9F6C" wp14:editId="4BC69680">
              <wp:simplePos x="0" y="0"/>
              <wp:positionH relativeFrom="margin">
                <wp:posOffset>2842895</wp:posOffset>
              </wp:positionH>
              <wp:positionV relativeFrom="paragraph">
                <wp:posOffset>286385</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B630C" w14:textId="77777777" w:rsidR="00A739F2" w:rsidRDefault="00597D48">
                          <w:pPr>
                            <w:pStyle w:val="ac"/>
                            <w:ind w:firstLineChars="0" w:firstLine="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2CE9F6C" id="_x0000_t202" coordsize="21600,21600" o:spt="202" path="m,l,21600r21600,l21600,xe">
              <v:stroke joinstyle="miter"/>
              <v:path gradientshapeok="t" o:connecttype="rect"/>
            </v:shapetype>
            <v:shape id="文本框 33" o:spid="_x0000_s1027" type="#_x0000_t202" style="position:absolute;margin-left:223.85pt;margin-top:22.55pt;width:2in;height:2in;z-index:2516643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" filled="f" stroked="f" strokeweight=".5pt">
              <v:textbox style="mso-fit-shape-to-text:t" inset="0,0,0,0">
                <w:txbxContent>
                  <w:p w14:paraId="2ECB630C" w14:textId="77777777" w:rsidR="00A739F2" w:rsidRDefault="00597D48">
                    <w:pPr>
                      <w:pStyle w:val="ac"/>
                      <w:ind w:firstLineChars="0" w:firstLine="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C562D" w14:textId="77777777" w:rsidR="00A739F2" w:rsidRDefault="00597D48">
    <w:pPr>
      <w:widowControl/>
      <w:kinsoku w:val="0"/>
      <w:autoSpaceDE w:val="0"/>
      <w:autoSpaceDN w:val="0"/>
      <w:adjustRightInd w:val="0"/>
      <w:ind w:firstLineChars="0" w:firstLine="0"/>
      <w:jc w:val="center"/>
      <w:textAlignment w:val="baseline"/>
      <w:rPr>
        <w:rFonts w:eastAsia="Times New Roman" w:cs="Times New Roman"/>
        <w:snapToGrid w:val="0"/>
        <w:color w:val="000000"/>
        <w:kern w:val="0"/>
        <w:sz w:val="24"/>
        <w:lang w:eastAsia="en-US"/>
      </w:rPr>
    </w:pPr>
    <w:r>
      <w:rPr>
        <w:noProof/>
        <w:sz w:val="24"/>
      </w:rPr>
      <mc:AlternateContent>
        <mc:Choice Requires="wps">
          <w:drawing>
            <wp:anchor distT="0" distB="0" distL="114300" distR="114300" simplePos="0" relativeHeight="251663360" behindDoc="0" locked="0" layoutInCell="1" allowOverlap="1" wp14:anchorId="1C88830C" wp14:editId="3C1825F9">
              <wp:simplePos x="0" y="0"/>
              <wp:positionH relativeFrom="margin">
                <wp:posOffset>2525395</wp:posOffset>
              </wp:positionH>
              <wp:positionV relativeFrom="paragraph">
                <wp:posOffset>239395</wp:posOffset>
              </wp:positionV>
              <wp:extent cx="587375" cy="24384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587375" cy="243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B4C5E" w14:textId="77777777" w:rsidR="00A739F2" w:rsidRDefault="00597D48">
                          <w:pPr>
                            <w:pStyle w:val="ac"/>
                            <w:ind w:firstLineChars="0" w:firstLine="0"/>
                            <w:jc w:val="center"/>
                            <w:rPr>
                              <w:rFonts w:cs="Times New Roman"/>
                              <w:sz w:val="24"/>
                              <w:szCs w:val="24"/>
                            </w:rPr>
                          </w:pP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rPr>
                              <w:rFonts w:cs="Times New Roman"/>
                              <w:sz w:val="24"/>
                              <w:szCs w:val="24"/>
                            </w:rPr>
                            <w:t>1</w:t>
                          </w:r>
                          <w:r>
                            <w:rPr>
                              <w:rFonts w:cs="Times New Roman"/>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1C88830C" id="_x0000_t202" coordsize="21600,21600" o:spt="202" path="m,l,21600r21600,l21600,xe">
              <v:stroke joinstyle="miter"/>
              <v:path gradientshapeok="t" o:connecttype="rect"/>
            </v:shapetype>
            <v:shape id="文本框 30" o:spid="_x0000_s1028" type="#_x0000_t202" style="position:absolute;left:0;text-align:left;margin-left:198.85pt;margin-top:18.85pt;width:46.25pt;height:19.2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" filled="f" stroked="f" strokeweight=".5pt">
              <v:textbox inset="0,0,0,0">
                <w:txbxContent>
                  <w:p w14:paraId="62DB4C5E" w14:textId="77777777" w:rsidR="00A739F2" w:rsidRDefault="00597D48">
                    <w:pPr>
                      <w:pStyle w:val="ac"/>
                      <w:ind w:firstLineChars="0" w:firstLine="0"/>
                      <w:jc w:val="center"/>
                      <w:rPr>
                        <w:rFonts w:cs="Times New Roman"/>
                        <w:sz w:val="24"/>
                        <w:szCs w:val="24"/>
                      </w:rPr>
                    </w:pPr>
                    <w:r>
                      <w:rPr>
                        <w:rFonts w:cs="Times New Roman"/>
                        <w:sz w:val="24"/>
                        <w:szCs w:val="24"/>
                      </w:rPr>
                      <w:fldChar w:fldCharType="begin"/>
                    </w:r>
                    <w:r>
                      <w:rPr>
                        <w:rFonts w:cs="Times New Roman"/>
                        <w:sz w:val="24"/>
                        <w:szCs w:val="24"/>
                      </w:rPr>
                      <w:instrText xml:space="preserve"> PAGE  \* MERGEFORMAT </w:instrText>
                    </w:r>
                    <w:r>
                      <w:rPr>
                        <w:rFonts w:cs="Times New Roman"/>
                        <w:sz w:val="24"/>
                        <w:szCs w:val="24"/>
                      </w:rPr>
                      <w:fldChar w:fldCharType="separate"/>
                    </w:r>
                    <w:r>
                      <w:rPr>
                        <w:rFonts w:cs="Times New Roman"/>
                        <w:sz w:val="24"/>
                        <w:szCs w:val="24"/>
                      </w:rPr>
                      <w:t>1</w:t>
                    </w:r>
                    <w:r>
                      <w:rPr>
                        <w:rFonts w:cs="Times New Roman"/>
                        <w:sz w:val="24"/>
                        <w:szCs w:val="24"/>
                      </w:rP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1610" w14:textId="77777777" w:rsidR="00A739F2" w:rsidRDefault="00597D48">
    <w:pPr>
      <w:pStyle w:val="ac"/>
      <w:ind w:firstLine="360"/>
    </w:pPr>
    <w:r>
      <w:rPr>
        <w:noProof/>
      </w:rPr>
      <mc:AlternateContent>
        <mc:Choice Requires="wps">
          <w:drawing>
            <wp:anchor distT="0" distB="0" distL="114300" distR="114300" simplePos="0" relativeHeight="251665408" behindDoc="0" locked="0" layoutInCell="1" allowOverlap="1" wp14:anchorId="0575874B" wp14:editId="08D406D1">
              <wp:simplePos x="0" y="0"/>
              <wp:positionH relativeFrom="margin">
                <wp:posOffset>4035425</wp:posOffset>
              </wp:positionH>
              <wp:positionV relativeFrom="paragraph">
                <wp:posOffset>289560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DEB33" w14:textId="77777777" w:rsidR="00A739F2" w:rsidRDefault="00597D48">
                          <w:pPr>
                            <w:pStyle w:val="ac"/>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575874B" id="_x0000_t202" coordsize="21600,21600" o:spt="202" path="m,l,21600r21600,l21600,xe">
              <v:stroke joinstyle="miter"/>
              <v:path gradientshapeok="t" o:connecttype="rect"/>
            </v:shapetype>
            <v:shape id="文本框 34" o:spid="_x0000_s1029" type="#_x0000_t202" style="position:absolute;left:0;text-align:left;margin-left:317.75pt;margin-top:22.8pt;width:2in;height:2in;z-index:2516654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" filled="f" stroked="f" strokeweight=".5pt">
              <v:textbox style="mso-fit-shape-to-text:t" inset="0,0,0,0">
                <w:txbxContent>
                  <w:p w14:paraId="625DEB33" w14:textId="77777777" w:rsidR="00A739F2" w:rsidRDefault="00597D48">
                    <w:pPr>
                      <w:pStyle w:val="ac"/>
                      <w:ind w:firstLine="36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29B1" w14:textId="77777777" w:rsidR="00A739F2" w:rsidRDefault="00597D48">
    <w:pPr>
      <w:widowControl/>
      <w:kinsoku w:val="0"/>
      <w:autoSpaceDE w:val="0"/>
      <w:autoSpaceDN w:val="0"/>
      <w:adjustRightInd w:val="0"/>
      <w:ind w:firstLineChars="0" w:firstLine="0"/>
      <w:jc w:val="center"/>
      <w:textAlignment w:val="baseline"/>
      <w:rPr>
        <w:rFonts w:eastAsia="Times New Roman" w:cs="Times New Roman"/>
        <w:snapToGrid w:val="0"/>
        <w:color w:val="000000"/>
        <w:kern w:val="0"/>
        <w:sz w:val="24"/>
        <w:lang w:eastAsia="en-US"/>
      </w:rPr>
    </w:pPr>
    <w:r>
      <w:rPr>
        <w:noProof/>
        <w:sz w:val="24"/>
      </w:rPr>
      <mc:AlternateContent>
        <mc:Choice Requires="wps">
          <w:drawing>
            <wp:anchor distT="0" distB="0" distL="114300" distR="114300" simplePos="0" relativeHeight="251660288" behindDoc="0" locked="0" layoutInCell="1" allowOverlap="1" wp14:anchorId="491626BD" wp14:editId="71D8FDF1">
              <wp:simplePos x="0" y="0"/>
              <wp:positionH relativeFrom="margin">
                <wp:align>center</wp:align>
              </wp:positionH>
              <wp:positionV relativeFrom="paragraph">
                <wp:posOffset>0</wp:posOffset>
              </wp:positionV>
              <wp:extent cx="587375" cy="24384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587375" cy="243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6A472" w14:textId="77777777" w:rsidR="00A739F2" w:rsidRDefault="00597D48">
                          <w:pPr>
                            <w:pStyle w:val="ac"/>
                            <w:ind w:firstLineChars="0" w:firstLine="0"/>
                            <w:jc w:val="center"/>
                            <w:rPr>
                              <w:rFonts w:ascii="仿宋_GB2312" w:hAnsi="仿宋_GB2312" w:cs="仿宋_GB2312"/>
                              <w:sz w:val="24"/>
                              <w:szCs w:val="36"/>
                            </w:rPr>
                          </w:pPr>
                          <w:r>
                            <w:rPr>
                              <w:rFonts w:ascii="仿宋_GB2312" w:hAnsi="仿宋_GB2312" w:cs="仿宋_GB2312" w:hint="eastAsia"/>
                              <w:sz w:val="24"/>
                              <w:szCs w:val="36"/>
                            </w:rPr>
                            <w:fldChar w:fldCharType="begin"/>
                          </w:r>
                          <w:r>
                            <w:rPr>
                              <w:rFonts w:ascii="仿宋_GB2312" w:hAnsi="仿宋_GB2312" w:cs="仿宋_GB2312" w:hint="eastAsia"/>
                              <w:sz w:val="24"/>
                              <w:szCs w:val="36"/>
                            </w:rPr>
                            <w:instrText xml:space="preserve"> PAGE  \* MERGEFORMAT </w:instrText>
                          </w:r>
                          <w:r>
                            <w:rPr>
                              <w:rFonts w:ascii="仿宋_GB2312" w:hAnsi="仿宋_GB2312" w:cs="仿宋_GB2312" w:hint="eastAsia"/>
                              <w:sz w:val="24"/>
                              <w:szCs w:val="36"/>
                            </w:rPr>
                            <w:fldChar w:fldCharType="separate"/>
                          </w:r>
                          <w:r>
                            <w:rPr>
                              <w:rFonts w:ascii="仿宋_GB2312" w:hAnsi="仿宋_GB2312" w:cs="仿宋_GB2312" w:hint="eastAsia"/>
                              <w:sz w:val="24"/>
                              <w:szCs w:val="36"/>
                            </w:rPr>
                            <w:t>1</w:t>
                          </w:r>
                          <w:r>
                            <w:rPr>
                              <w:rFonts w:ascii="仿宋_GB2312" w:hAnsi="仿宋_GB2312" w:cs="仿宋_GB2312" w:hint="eastAsia"/>
                              <w:sz w:val="24"/>
                              <w:szCs w:val="36"/>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491626BD" id="_x0000_t202" coordsize="21600,21600" o:spt="202" path="m,l,21600r21600,l21600,xe">
              <v:stroke joinstyle="miter"/>
              <v:path gradientshapeok="t" o:connecttype="rect"/>
            </v:shapetype>
            <v:shape id="文本框 22" o:spid="_x0000_s1030" type="#_x0000_t202" style="position:absolute;left:0;text-align:left;margin-left:0;margin-top:0;width:46.25pt;height:19.2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" filled="f" stroked="f" strokeweight=".5pt">
              <v:textbox inset="0,0,0,0">
                <w:txbxContent>
                  <w:p w14:paraId="5B96A472" w14:textId="77777777" w:rsidR="00A739F2" w:rsidRDefault="00597D48">
                    <w:pPr>
                      <w:pStyle w:val="ac"/>
                      <w:ind w:firstLineChars="0" w:firstLine="0"/>
                      <w:jc w:val="center"/>
                      <w:rPr>
                        <w:rFonts w:ascii="仿宋_GB2312" w:hAnsi="仿宋_GB2312" w:cs="仿宋_GB2312"/>
                        <w:sz w:val="24"/>
                        <w:szCs w:val="36"/>
                      </w:rPr>
                    </w:pPr>
                    <w:r>
                      <w:rPr>
                        <w:rFonts w:ascii="仿宋_GB2312" w:hAnsi="仿宋_GB2312" w:cs="仿宋_GB2312" w:hint="eastAsia"/>
                        <w:sz w:val="24"/>
                        <w:szCs w:val="36"/>
                      </w:rPr>
                      <w:fldChar w:fldCharType="begin"/>
                    </w:r>
                    <w:r>
                      <w:rPr>
                        <w:rFonts w:ascii="仿宋_GB2312" w:hAnsi="仿宋_GB2312" w:cs="仿宋_GB2312" w:hint="eastAsia"/>
                        <w:sz w:val="24"/>
                        <w:szCs w:val="36"/>
                      </w:rPr>
                      <w:instrText xml:space="preserve"> PAGE  \* MERGEFORMAT </w:instrText>
                    </w:r>
                    <w:r>
                      <w:rPr>
                        <w:rFonts w:ascii="仿宋_GB2312" w:hAnsi="仿宋_GB2312" w:cs="仿宋_GB2312" w:hint="eastAsia"/>
                        <w:sz w:val="24"/>
                        <w:szCs w:val="36"/>
                      </w:rPr>
                      <w:fldChar w:fldCharType="separate"/>
                    </w:r>
                    <w:r>
                      <w:rPr>
                        <w:rFonts w:ascii="仿宋_GB2312" w:hAnsi="仿宋_GB2312" w:cs="仿宋_GB2312" w:hint="eastAsia"/>
                        <w:sz w:val="24"/>
                        <w:szCs w:val="36"/>
                      </w:rPr>
                      <w:t>1</w:t>
                    </w:r>
                    <w:r>
                      <w:rPr>
                        <w:rFonts w:ascii="仿宋_GB2312" w:hAnsi="仿宋_GB2312" w:cs="仿宋_GB2312" w:hint="eastAsia"/>
                        <w:sz w:val="24"/>
                        <w:szCs w:val="36"/>
                      </w:rP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12899" w14:textId="77777777" w:rsidR="00A739F2" w:rsidRDefault="00597D48">
    <w:pPr>
      <w:pStyle w:val="ac"/>
      <w:ind w:firstLine="360"/>
    </w:pPr>
    <w:r>
      <w:rPr>
        <w:noProof/>
      </w:rPr>
      <mc:AlternateContent>
        <mc:Choice Requires="wps">
          <w:drawing>
            <wp:anchor distT="0" distB="0" distL="114300" distR="114300" simplePos="0" relativeHeight="251662336" behindDoc="0" locked="0" layoutInCell="1" allowOverlap="1" wp14:anchorId="2C930C39" wp14:editId="2048C259">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BC45BC" w14:textId="77777777" w:rsidR="00A739F2" w:rsidRDefault="00597D48">
                          <w:pPr>
                            <w:pStyle w:val="ac"/>
                            <w:ind w:firstLine="480"/>
                            <w:rPr>
                              <w:rFonts w:ascii="仿宋_GB2312" w:hAnsi="仿宋_GB2312" w:cs="仿宋_GB2312"/>
                              <w:sz w:val="24"/>
                              <w:szCs w:val="24"/>
                            </w:rPr>
                          </w:pPr>
                          <w:r>
                            <w:rPr>
                              <w:rFonts w:ascii="仿宋_GB2312" w:hAnsi="仿宋_GB2312" w:cs="仿宋_GB2312" w:hint="eastAsia"/>
                              <w:sz w:val="24"/>
                              <w:szCs w:val="24"/>
                            </w:rPr>
                            <w:fldChar w:fldCharType="begin"/>
                          </w:r>
                          <w:r>
                            <w:rPr>
                              <w:rFonts w:ascii="仿宋_GB2312" w:hAnsi="仿宋_GB2312" w:cs="仿宋_GB2312" w:hint="eastAsia"/>
                              <w:sz w:val="24"/>
                              <w:szCs w:val="24"/>
                            </w:rPr>
                            <w:instrText xml:space="preserve"> PAGE  \* MERGEFORMAT </w:instrText>
                          </w:r>
                          <w:r>
                            <w:rPr>
                              <w:rFonts w:ascii="仿宋_GB2312" w:hAnsi="仿宋_GB2312" w:cs="仿宋_GB2312" w:hint="eastAsia"/>
                              <w:sz w:val="24"/>
                              <w:szCs w:val="24"/>
                            </w:rPr>
                            <w:fldChar w:fldCharType="separate"/>
                          </w:r>
                          <w:r>
                            <w:rPr>
                              <w:rFonts w:ascii="仿宋_GB2312" w:hAnsi="仿宋_GB2312" w:cs="仿宋_GB2312" w:hint="eastAsia"/>
                              <w:sz w:val="24"/>
                              <w:szCs w:val="24"/>
                            </w:rPr>
                            <w:t>28</w:t>
                          </w:r>
                          <w:r>
                            <w:rPr>
                              <w:rFonts w:ascii="仿宋_GB2312" w:hAnsi="仿宋_GB2312" w:cs="仿宋_GB2312"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C930C39" id="_x0000_t202" coordsize="21600,21600" o:spt="202" path="m,l,21600r21600,l21600,xe">
              <v:stroke joinstyle="miter"/>
              <v:path gradientshapeok="t" o:connecttype="rect"/>
            </v:shapetype>
            <v:shape id="文本框 29" o:spid="_x0000_s1031"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r/INJZQIAABMFAAAOAAAAAAAAAAAAAAAAAC4CAABkcnMvZTJvRG9j&#10;LnhtbFBLAQItABQABgAIAAAAIQBxqtG51wAAAAUBAAAPAAAAAAAAAAAAAAAAAL8EAABkcnMvZG93&#10;bnJldi54bWxQSwUGAAAAAAQABADzAAAAwwUAAAAA&#10;" filled="f" stroked="f" strokeweight=".5pt">
              <v:textbox style="mso-fit-shape-to-text:t" inset="0,0,0,0">
                <w:txbxContent>
                  <w:p w14:paraId="5EBC45BC" w14:textId="77777777" w:rsidR="00A739F2" w:rsidRDefault="00597D48">
                    <w:pPr>
                      <w:pStyle w:val="ac"/>
                      <w:ind w:firstLine="480"/>
                      <w:rPr>
                        <w:rFonts w:ascii="仿宋_GB2312" w:hAnsi="仿宋_GB2312" w:cs="仿宋_GB2312"/>
                        <w:sz w:val="24"/>
                        <w:szCs w:val="24"/>
                      </w:rPr>
                    </w:pPr>
                    <w:r>
                      <w:rPr>
                        <w:rFonts w:ascii="仿宋_GB2312" w:hAnsi="仿宋_GB2312" w:cs="仿宋_GB2312" w:hint="eastAsia"/>
                        <w:sz w:val="24"/>
                        <w:szCs w:val="24"/>
                      </w:rPr>
                      <w:fldChar w:fldCharType="begin"/>
                    </w:r>
                    <w:r>
                      <w:rPr>
                        <w:rFonts w:ascii="仿宋_GB2312" w:hAnsi="仿宋_GB2312" w:cs="仿宋_GB2312" w:hint="eastAsia"/>
                        <w:sz w:val="24"/>
                        <w:szCs w:val="24"/>
                      </w:rPr>
                      <w:instrText xml:space="preserve"> PAGE  \* MERGEFORMAT </w:instrText>
                    </w:r>
                    <w:r>
                      <w:rPr>
                        <w:rFonts w:ascii="仿宋_GB2312" w:hAnsi="仿宋_GB2312" w:cs="仿宋_GB2312" w:hint="eastAsia"/>
                        <w:sz w:val="24"/>
                        <w:szCs w:val="24"/>
                      </w:rPr>
                      <w:fldChar w:fldCharType="separate"/>
                    </w:r>
                    <w:r>
                      <w:rPr>
                        <w:rFonts w:ascii="仿宋_GB2312" w:hAnsi="仿宋_GB2312" w:cs="仿宋_GB2312" w:hint="eastAsia"/>
                        <w:sz w:val="24"/>
                        <w:szCs w:val="24"/>
                      </w:rPr>
                      <w:t>28</w:t>
                    </w:r>
                    <w:r>
                      <w:rPr>
                        <w:rFonts w:ascii="仿宋_GB2312" w:hAnsi="仿宋_GB2312" w:cs="仿宋_GB2312" w:hint="eastAsia"/>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329FE" w14:textId="77777777" w:rsidR="00597D48" w:rsidRDefault="00597D48">
      <w:r>
        <w:separator/>
      </w:r>
    </w:p>
  </w:footnote>
  <w:footnote w:type="continuationSeparator" w:id="0">
    <w:p w14:paraId="1B7412CB" w14:textId="77777777" w:rsidR="00597D48" w:rsidRDefault="00597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991BD" w14:textId="77777777" w:rsidR="00A739F2" w:rsidRDefault="00A739F2">
    <w:pPr>
      <w:pStyle w:val="ad"/>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B658" w14:textId="77777777" w:rsidR="00A739F2" w:rsidRDefault="00A739F2">
    <w:pPr>
      <w:pStyle w:val="ad"/>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9C02FC"/>
    <w:multiLevelType w:val="singleLevel"/>
    <w:tmpl w:val="929C02FC"/>
    <w:lvl w:ilvl="0">
      <w:start w:val="3"/>
      <w:numFmt w:val="decimal"/>
      <w:suff w:val="nothing"/>
      <w:lvlText w:val="%1、"/>
      <w:lvlJc w:val="left"/>
    </w:lvl>
  </w:abstractNum>
  <w:abstractNum w:abstractNumId="1" w15:restartNumberingAfterBreak="0">
    <w:nsid w:val="538ADEDA"/>
    <w:multiLevelType w:val="singleLevel"/>
    <w:tmpl w:val="538ADEDA"/>
    <w:lvl w:ilvl="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oNotDisplayPageBoundaries/>
  <w:embedTrueTypeFonts/>
  <w:saveSubsetFonts/>
  <w:bordersDoNotSurroundHeader/>
  <w:bordersDoNotSurroundFooter/>
  <w:proofState w:spelling="clean" w:grammar="clean"/>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Q2NzNhZTczYmIyOGExMGE0YzVhYjAxYWQ1OWFlMWMifQ=="/>
  </w:docVars>
  <w:rsids>
    <w:rsidRoot w:val="19E845BF"/>
    <w:rsid w:val="000208E2"/>
    <w:rsid w:val="000363D3"/>
    <w:rsid w:val="000530A5"/>
    <w:rsid w:val="000668E1"/>
    <w:rsid w:val="000739AA"/>
    <w:rsid w:val="00090304"/>
    <w:rsid w:val="000C511D"/>
    <w:rsid w:val="000C5B93"/>
    <w:rsid w:val="000D48EA"/>
    <w:rsid w:val="000F206E"/>
    <w:rsid w:val="0017575A"/>
    <w:rsid w:val="00187F6D"/>
    <w:rsid w:val="001954FD"/>
    <w:rsid w:val="001A7421"/>
    <w:rsid w:val="001C26B0"/>
    <w:rsid w:val="001F089A"/>
    <w:rsid w:val="001F2794"/>
    <w:rsid w:val="001F519C"/>
    <w:rsid w:val="00202F0B"/>
    <w:rsid w:val="00230BC3"/>
    <w:rsid w:val="0027147E"/>
    <w:rsid w:val="00281069"/>
    <w:rsid w:val="00284739"/>
    <w:rsid w:val="002D39F7"/>
    <w:rsid w:val="002F0C57"/>
    <w:rsid w:val="00307E0D"/>
    <w:rsid w:val="003819CB"/>
    <w:rsid w:val="00395B69"/>
    <w:rsid w:val="004225BE"/>
    <w:rsid w:val="0042718F"/>
    <w:rsid w:val="00430D6C"/>
    <w:rsid w:val="00452BBC"/>
    <w:rsid w:val="00454657"/>
    <w:rsid w:val="004B4367"/>
    <w:rsid w:val="004F120B"/>
    <w:rsid w:val="004F1DF5"/>
    <w:rsid w:val="0050679A"/>
    <w:rsid w:val="0051005E"/>
    <w:rsid w:val="00525AA2"/>
    <w:rsid w:val="00552072"/>
    <w:rsid w:val="0055525E"/>
    <w:rsid w:val="00584466"/>
    <w:rsid w:val="00597D48"/>
    <w:rsid w:val="005B3132"/>
    <w:rsid w:val="005D17A5"/>
    <w:rsid w:val="005E60F6"/>
    <w:rsid w:val="005F78C6"/>
    <w:rsid w:val="00687D43"/>
    <w:rsid w:val="00696EB2"/>
    <w:rsid w:val="006A4E24"/>
    <w:rsid w:val="006E358C"/>
    <w:rsid w:val="006E6527"/>
    <w:rsid w:val="00705D3C"/>
    <w:rsid w:val="00741CC3"/>
    <w:rsid w:val="00752CBA"/>
    <w:rsid w:val="007843DB"/>
    <w:rsid w:val="00786D93"/>
    <w:rsid w:val="0080445D"/>
    <w:rsid w:val="008220C0"/>
    <w:rsid w:val="00845711"/>
    <w:rsid w:val="00864DAE"/>
    <w:rsid w:val="008766F6"/>
    <w:rsid w:val="008803AE"/>
    <w:rsid w:val="0089750C"/>
    <w:rsid w:val="008C0853"/>
    <w:rsid w:val="008F4966"/>
    <w:rsid w:val="009312B6"/>
    <w:rsid w:val="009341D0"/>
    <w:rsid w:val="00992F29"/>
    <w:rsid w:val="009A2761"/>
    <w:rsid w:val="009D4A9E"/>
    <w:rsid w:val="00A31F1B"/>
    <w:rsid w:val="00A739F2"/>
    <w:rsid w:val="00AF4A92"/>
    <w:rsid w:val="00B3597C"/>
    <w:rsid w:val="00B86EF4"/>
    <w:rsid w:val="00BD415F"/>
    <w:rsid w:val="00C05B96"/>
    <w:rsid w:val="00C21E07"/>
    <w:rsid w:val="00C328F1"/>
    <w:rsid w:val="00C85C3B"/>
    <w:rsid w:val="00C956FD"/>
    <w:rsid w:val="00C97F73"/>
    <w:rsid w:val="00CA25EF"/>
    <w:rsid w:val="00CC260E"/>
    <w:rsid w:val="00CE179E"/>
    <w:rsid w:val="00D124CE"/>
    <w:rsid w:val="00D45E0D"/>
    <w:rsid w:val="00D45F06"/>
    <w:rsid w:val="00D746E1"/>
    <w:rsid w:val="00D96129"/>
    <w:rsid w:val="00E21276"/>
    <w:rsid w:val="00E34F41"/>
    <w:rsid w:val="00E82EAD"/>
    <w:rsid w:val="00E929FC"/>
    <w:rsid w:val="00EA4DE6"/>
    <w:rsid w:val="00EB658F"/>
    <w:rsid w:val="00EC1056"/>
    <w:rsid w:val="00EC4EEB"/>
    <w:rsid w:val="00ED2ACE"/>
    <w:rsid w:val="00F00EED"/>
    <w:rsid w:val="00F032E8"/>
    <w:rsid w:val="00F31360"/>
    <w:rsid w:val="00F31D75"/>
    <w:rsid w:val="00F33EEC"/>
    <w:rsid w:val="00F97326"/>
    <w:rsid w:val="00FA0751"/>
    <w:rsid w:val="00FC404A"/>
    <w:rsid w:val="00FE3021"/>
    <w:rsid w:val="00FE40F8"/>
    <w:rsid w:val="00FF4918"/>
    <w:rsid w:val="00FF5168"/>
    <w:rsid w:val="0113750B"/>
    <w:rsid w:val="01170F11"/>
    <w:rsid w:val="01322983"/>
    <w:rsid w:val="01345E86"/>
    <w:rsid w:val="014F4893"/>
    <w:rsid w:val="01541FBE"/>
    <w:rsid w:val="01A81F1A"/>
    <w:rsid w:val="01AC7D42"/>
    <w:rsid w:val="01C278FE"/>
    <w:rsid w:val="01F4772A"/>
    <w:rsid w:val="02952E1B"/>
    <w:rsid w:val="02C77D57"/>
    <w:rsid w:val="03085116"/>
    <w:rsid w:val="03595341"/>
    <w:rsid w:val="03685798"/>
    <w:rsid w:val="03A52A4E"/>
    <w:rsid w:val="03E35AEF"/>
    <w:rsid w:val="047B1554"/>
    <w:rsid w:val="04914307"/>
    <w:rsid w:val="04B70785"/>
    <w:rsid w:val="04ED064B"/>
    <w:rsid w:val="053D3919"/>
    <w:rsid w:val="054B56DF"/>
    <w:rsid w:val="054D5AAF"/>
    <w:rsid w:val="05E27A84"/>
    <w:rsid w:val="063620AD"/>
    <w:rsid w:val="0654426F"/>
    <w:rsid w:val="06567772"/>
    <w:rsid w:val="06CC603E"/>
    <w:rsid w:val="071F71BB"/>
    <w:rsid w:val="07762B7A"/>
    <w:rsid w:val="07957962"/>
    <w:rsid w:val="079600FE"/>
    <w:rsid w:val="079A76B8"/>
    <w:rsid w:val="07D25D65"/>
    <w:rsid w:val="081E2961"/>
    <w:rsid w:val="08822685"/>
    <w:rsid w:val="08C068E7"/>
    <w:rsid w:val="091D7025"/>
    <w:rsid w:val="092A0515"/>
    <w:rsid w:val="095B457F"/>
    <w:rsid w:val="09EC6054"/>
    <w:rsid w:val="0AA27152"/>
    <w:rsid w:val="0AB14A4F"/>
    <w:rsid w:val="0AE71698"/>
    <w:rsid w:val="0AF41CF4"/>
    <w:rsid w:val="0B5F1B77"/>
    <w:rsid w:val="0BDF05C2"/>
    <w:rsid w:val="0C2D4C6D"/>
    <w:rsid w:val="0CA02447"/>
    <w:rsid w:val="0CC84203"/>
    <w:rsid w:val="0D0D7645"/>
    <w:rsid w:val="0D4C7ED9"/>
    <w:rsid w:val="0D6671EC"/>
    <w:rsid w:val="0D6C3835"/>
    <w:rsid w:val="0D7E58AD"/>
    <w:rsid w:val="0D7F02AE"/>
    <w:rsid w:val="0D8B77C4"/>
    <w:rsid w:val="0DB642AC"/>
    <w:rsid w:val="0DC42165"/>
    <w:rsid w:val="0DE325EB"/>
    <w:rsid w:val="0DF26CD2"/>
    <w:rsid w:val="0DF42B38"/>
    <w:rsid w:val="0E6F20D1"/>
    <w:rsid w:val="0E720573"/>
    <w:rsid w:val="0E795ACD"/>
    <w:rsid w:val="0E924011"/>
    <w:rsid w:val="0F0767AD"/>
    <w:rsid w:val="0F201964"/>
    <w:rsid w:val="0F8F1193"/>
    <w:rsid w:val="1012756E"/>
    <w:rsid w:val="102065CD"/>
    <w:rsid w:val="10390BE8"/>
    <w:rsid w:val="105772C0"/>
    <w:rsid w:val="1065378B"/>
    <w:rsid w:val="107C119C"/>
    <w:rsid w:val="109F30DE"/>
    <w:rsid w:val="10CD1330"/>
    <w:rsid w:val="10D726AD"/>
    <w:rsid w:val="11082CC5"/>
    <w:rsid w:val="11414D1C"/>
    <w:rsid w:val="11C20769"/>
    <w:rsid w:val="123E24E6"/>
    <w:rsid w:val="12A76ED9"/>
    <w:rsid w:val="12B17AB7"/>
    <w:rsid w:val="12CC7AF2"/>
    <w:rsid w:val="13183E81"/>
    <w:rsid w:val="13244572"/>
    <w:rsid w:val="13267549"/>
    <w:rsid w:val="13484B32"/>
    <w:rsid w:val="138244BE"/>
    <w:rsid w:val="13B363E0"/>
    <w:rsid w:val="13BA2D28"/>
    <w:rsid w:val="13DA3D37"/>
    <w:rsid w:val="13E82422"/>
    <w:rsid w:val="13F13611"/>
    <w:rsid w:val="13F641B2"/>
    <w:rsid w:val="1410457B"/>
    <w:rsid w:val="143E2478"/>
    <w:rsid w:val="14534C64"/>
    <w:rsid w:val="145E6E6F"/>
    <w:rsid w:val="1461070D"/>
    <w:rsid w:val="147B114A"/>
    <w:rsid w:val="14C4044E"/>
    <w:rsid w:val="15051734"/>
    <w:rsid w:val="152B21C4"/>
    <w:rsid w:val="152D4AAA"/>
    <w:rsid w:val="16685D83"/>
    <w:rsid w:val="16B9038D"/>
    <w:rsid w:val="16F65238"/>
    <w:rsid w:val="17771D30"/>
    <w:rsid w:val="17A10E21"/>
    <w:rsid w:val="17EC50AA"/>
    <w:rsid w:val="18095344"/>
    <w:rsid w:val="18104A8B"/>
    <w:rsid w:val="192E0E31"/>
    <w:rsid w:val="19DE71F5"/>
    <w:rsid w:val="19E845BF"/>
    <w:rsid w:val="1A1E6C27"/>
    <w:rsid w:val="1A235EC4"/>
    <w:rsid w:val="1A240213"/>
    <w:rsid w:val="1A2C3873"/>
    <w:rsid w:val="1AE8532A"/>
    <w:rsid w:val="1AE95D60"/>
    <w:rsid w:val="1AF5354A"/>
    <w:rsid w:val="1B0B3181"/>
    <w:rsid w:val="1B62129D"/>
    <w:rsid w:val="1BCB49AC"/>
    <w:rsid w:val="1C646FED"/>
    <w:rsid w:val="1CAE0229"/>
    <w:rsid w:val="1D2B3667"/>
    <w:rsid w:val="1D37025D"/>
    <w:rsid w:val="1D8437F8"/>
    <w:rsid w:val="1ECE699F"/>
    <w:rsid w:val="1F4D1FBA"/>
    <w:rsid w:val="1F5350F7"/>
    <w:rsid w:val="1F681861"/>
    <w:rsid w:val="20051698"/>
    <w:rsid w:val="202D6593"/>
    <w:rsid w:val="20360CA0"/>
    <w:rsid w:val="20BB2F53"/>
    <w:rsid w:val="20D52267"/>
    <w:rsid w:val="20FA1CCE"/>
    <w:rsid w:val="210F3D49"/>
    <w:rsid w:val="21246D4B"/>
    <w:rsid w:val="21454223"/>
    <w:rsid w:val="21661111"/>
    <w:rsid w:val="217A5B68"/>
    <w:rsid w:val="21873C87"/>
    <w:rsid w:val="21CE4EB1"/>
    <w:rsid w:val="21E005D0"/>
    <w:rsid w:val="220D5A31"/>
    <w:rsid w:val="223109A8"/>
    <w:rsid w:val="2265110A"/>
    <w:rsid w:val="22992965"/>
    <w:rsid w:val="22AB7021"/>
    <w:rsid w:val="230D6591"/>
    <w:rsid w:val="23701EA7"/>
    <w:rsid w:val="239740EF"/>
    <w:rsid w:val="23CB5BA3"/>
    <w:rsid w:val="241A1EC3"/>
    <w:rsid w:val="24412907"/>
    <w:rsid w:val="24780862"/>
    <w:rsid w:val="24EA3E07"/>
    <w:rsid w:val="25764F02"/>
    <w:rsid w:val="257A4DA8"/>
    <w:rsid w:val="25A16475"/>
    <w:rsid w:val="25DF4931"/>
    <w:rsid w:val="261B75E1"/>
    <w:rsid w:val="26284769"/>
    <w:rsid w:val="263B7010"/>
    <w:rsid w:val="26DB48CD"/>
    <w:rsid w:val="26F740F9"/>
    <w:rsid w:val="27A12394"/>
    <w:rsid w:val="28893937"/>
    <w:rsid w:val="28A605BD"/>
    <w:rsid w:val="297E7214"/>
    <w:rsid w:val="29C00AAE"/>
    <w:rsid w:val="29C56BF1"/>
    <w:rsid w:val="29DB2BB8"/>
    <w:rsid w:val="29DF7CB3"/>
    <w:rsid w:val="29F206BF"/>
    <w:rsid w:val="2A9A4659"/>
    <w:rsid w:val="2AE05406"/>
    <w:rsid w:val="2B4E2C5C"/>
    <w:rsid w:val="2B636650"/>
    <w:rsid w:val="2B7663F5"/>
    <w:rsid w:val="2B9E191F"/>
    <w:rsid w:val="2BD10984"/>
    <w:rsid w:val="2BE7425F"/>
    <w:rsid w:val="2C2801FE"/>
    <w:rsid w:val="2C644C3D"/>
    <w:rsid w:val="2C775033"/>
    <w:rsid w:val="2CB77C44"/>
    <w:rsid w:val="2CFE48F4"/>
    <w:rsid w:val="2D1C2FCC"/>
    <w:rsid w:val="2D680B8A"/>
    <w:rsid w:val="2DC25921"/>
    <w:rsid w:val="2DCA53AC"/>
    <w:rsid w:val="2E5D3721"/>
    <w:rsid w:val="2E88718E"/>
    <w:rsid w:val="2EA3508F"/>
    <w:rsid w:val="2ED026DB"/>
    <w:rsid w:val="2EE900C8"/>
    <w:rsid w:val="2F0B6A77"/>
    <w:rsid w:val="2F58713C"/>
    <w:rsid w:val="2F975005"/>
    <w:rsid w:val="2FA01030"/>
    <w:rsid w:val="2FDC10FB"/>
    <w:rsid w:val="2FEC4ED7"/>
    <w:rsid w:val="30662EDC"/>
    <w:rsid w:val="3106021B"/>
    <w:rsid w:val="3137443C"/>
    <w:rsid w:val="31376F10"/>
    <w:rsid w:val="31A96F11"/>
    <w:rsid w:val="31E91FB0"/>
    <w:rsid w:val="327360B0"/>
    <w:rsid w:val="32951856"/>
    <w:rsid w:val="32D85BFA"/>
    <w:rsid w:val="32F94C33"/>
    <w:rsid w:val="33AB42C3"/>
    <w:rsid w:val="33AE2FE5"/>
    <w:rsid w:val="33ED121E"/>
    <w:rsid w:val="34386CBA"/>
    <w:rsid w:val="34654932"/>
    <w:rsid w:val="348A5DA6"/>
    <w:rsid w:val="349C5DC6"/>
    <w:rsid w:val="34CE54F3"/>
    <w:rsid w:val="35470E02"/>
    <w:rsid w:val="3559374E"/>
    <w:rsid w:val="357532E4"/>
    <w:rsid w:val="357F67EE"/>
    <w:rsid w:val="359D5EDD"/>
    <w:rsid w:val="35C82567"/>
    <w:rsid w:val="364F5AA0"/>
    <w:rsid w:val="36DD0453"/>
    <w:rsid w:val="3702134C"/>
    <w:rsid w:val="371371EE"/>
    <w:rsid w:val="372B2789"/>
    <w:rsid w:val="373B6744"/>
    <w:rsid w:val="376B32F9"/>
    <w:rsid w:val="37877318"/>
    <w:rsid w:val="37AB3FC3"/>
    <w:rsid w:val="37B90E7A"/>
    <w:rsid w:val="387A0BC4"/>
    <w:rsid w:val="398C14D9"/>
    <w:rsid w:val="39A74821"/>
    <w:rsid w:val="3A5D4951"/>
    <w:rsid w:val="3AA12D62"/>
    <w:rsid w:val="3BB05953"/>
    <w:rsid w:val="3BF746F2"/>
    <w:rsid w:val="3C377B0A"/>
    <w:rsid w:val="3C410359"/>
    <w:rsid w:val="3C780106"/>
    <w:rsid w:val="3C907D69"/>
    <w:rsid w:val="3D1F2CF5"/>
    <w:rsid w:val="3D3B307D"/>
    <w:rsid w:val="3D8E75CE"/>
    <w:rsid w:val="3DC75867"/>
    <w:rsid w:val="3DE445E0"/>
    <w:rsid w:val="3DF24054"/>
    <w:rsid w:val="3DFD4754"/>
    <w:rsid w:val="3EFE3365"/>
    <w:rsid w:val="3F214472"/>
    <w:rsid w:val="3F23468E"/>
    <w:rsid w:val="3F3073B8"/>
    <w:rsid w:val="3F763DCF"/>
    <w:rsid w:val="3FCE2739"/>
    <w:rsid w:val="3FD309CC"/>
    <w:rsid w:val="402A5051"/>
    <w:rsid w:val="40714F85"/>
    <w:rsid w:val="40803861"/>
    <w:rsid w:val="410127AD"/>
    <w:rsid w:val="41586871"/>
    <w:rsid w:val="41B56206"/>
    <w:rsid w:val="420454DD"/>
    <w:rsid w:val="42332EA8"/>
    <w:rsid w:val="42D00689"/>
    <w:rsid w:val="43A3453E"/>
    <w:rsid w:val="44507CD3"/>
    <w:rsid w:val="44DF3D8B"/>
    <w:rsid w:val="44F55F2E"/>
    <w:rsid w:val="4525759F"/>
    <w:rsid w:val="4599778D"/>
    <w:rsid w:val="459C4852"/>
    <w:rsid w:val="45AD6A5F"/>
    <w:rsid w:val="46317EB5"/>
    <w:rsid w:val="46521A6E"/>
    <w:rsid w:val="468F024E"/>
    <w:rsid w:val="46D52CF0"/>
    <w:rsid w:val="4703102D"/>
    <w:rsid w:val="47160645"/>
    <w:rsid w:val="475A0C1C"/>
    <w:rsid w:val="477261B2"/>
    <w:rsid w:val="47EF335F"/>
    <w:rsid w:val="48017E7F"/>
    <w:rsid w:val="4819662E"/>
    <w:rsid w:val="482A5A71"/>
    <w:rsid w:val="482C2CFE"/>
    <w:rsid w:val="48377244"/>
    <w:rsid w:val="492A0B3A"/>
    <w:rsid w:val="495335C6"/>
    <w:rsid w:val="49A82F0A"/>
    <w:rsid w:val="49AF35EF"/>
    <w:rsid w:val="49BE170B"/>
    <w:rsid w:val="49EF1EDA"/>
    <w:rsid w:val="4A241E76"/>
    <w:rsid w:val="4A2C7F9A"/>
    <w:rsid w:val="4A6C0C97"/>
    <w:rsid w:val="4A8D525B"/>
    <w:rsid w:val="4BDB17F8"/>
    <w:rsid w:val="4C036058"/>
    <w:rsid w:val="4C251041"/>
    <w:rsid w:val="4C81531A"/>
    <w:rsid w:val="4CE566B4"/>
    <w:rsid w:val="4D0D1EA9"/>
    <w:rsid w:val="4D2F65AE"/>
    <w:rsid w:val="4D8E361A"/>
    <w:rsid w:val="4DC065E4"/>
    <w:rsid w:val="4E93713A"/>
    <w:rsid w:val="4F4C1097"/>
    <w:rsid w:val="4F7D74A2"/>
    <w:rsid w:val="4F7E2911"/>
    <w:rsid w:val="4F8922EB"/>
    <w:rsid w:val="4FED07B1"/>
    <w:rsid w:val="501E0C85"/>
    <w:rsid w:val="50704A07"/>
    <w:rsid w:val="507408A5"/>
    <w:rsid w:val="50ED7854"/>
    <w:rsid w:val="50F81776"/>
    <w:rsid w:val="511B3176"/>
    <w:rsid w:val="51317043"/>
    <w:rsid w:val="515B37E5"/>
    <w:rsid w:val="51AD69A7"/>
    <w:rsid w:val="51DD247A"/>
    <w:rsid w:val="5217023B"/>
    <w:rsid w:val="525B20A6"/>
    <w:rsid w:val="527B7DD1"/>
    <w:rsid w:val="52B03D1D"/>
    <w:rsid w:val="52BB4D6D"/>
    <w:rsid w:val="52D33616"/>
    <w:rsid w:val="53462E45"/>
    <w:rsid w:val="534F12BA"/>
    <w:rsid w:val="53667057"/>
    <w:rsid w:val="53F57F4F"/>
    <w:rsid w:val="540B32CF"/>
    <w:rsid w:val="54190C85"/>
    <w:rsid w:val="54495057"/>
    <w:rsid w:val="54566E06"/>
    <w:rsid w:val="54667B16"/>
    <w:rsid w:val="54837F84"/>
    <w:rsid w:val="54AA7B4B"/>
    <w:rsid w:val="54BA370A"/>
    <w:rsid w:val="5556750C"/>
    <w:rsid w:val="555B0786"/>
    <w:rsid w:val="557D3DCF"/>
    <w:rsid w:val="558477DD"/>
    <w:rsid w:val="55B53F29"/>
    <w:rsid w:val="55BA03B1"/>
    <w:rsid w:val="561C4BD2"/>
    <w:rsid w:val="562763BA"/>
    <w:rsid w:val="56964306"/>
    <w:rsid w:val="57353838"/>
    <w:rsid w:val="57566F57"/>
    <w:rsid w:val="58240E03"/>
    <w:rsid w:val="58754A86"/>
    <w:rsid w:val="58A315BC"/>
    <w:rsid w:val="58AE6C63"/>
    <w:rsid w:val="58B71FF6"/>
    <w:rsid w:val="58DA0585"/>
    <w:rsid w:val="59126513"/>
    <w:rsid w:val="593D15AA"/>
    <w:rsid w:val="59B07FB1"/>
    <w:rsid w:val="5A584D94"/>
    <w:rsid w:val="5AEA6A34"/>
    <w:rsid w:val="5AF24790"/>
    <w:rsid w:val="5B435A44"/>
    <w:rsid w:val="5B6F1A7E"/>
    <w:rsid w:val="5BE523F7"/>
    <w:rsid w:val="5D094A6B"/>
    <w:rsid w:val="5D327BBC"/>
    <w:rsid w:val="5D4D621E"/>
    <w:rsid w:val="5D5071A3"/>
    <w:rsid w:val="5D7A3273"/>
    <w:rsid w:val="5DD020C5"/>
    <w:rsid w:val="5E063EF5"/>
    <w:rsid w:val="5E417850"/>
    <w:rsid w:val="5E4C523B"/>
    <w:rsid w:val="5E812D98"/>
    <w:rsid w:val="5F155949"/>
    <w:rsid w:val="5F274BAB"/>
    <w:rsid w:val="5F2B0CE6"/>
    <w:rsid w:val="5FD96BCD"/>
    <w:rsid w:val="5FE137DD"/>
    <w:rsid w:val="603A247B"/>
    <w:rsid w:val="606C1599"/>
    <w:rsid w:val="60886DD2"/>
    <w:rsid w:val="60B66CB8"/>
    <w:rsid w:val="60CB2763"/>
    <w:rsid w:val="60D657EB"/>
    <w:rsid w:val="611C5F5F"/>
    <w:rsid w:val="614668E5"/>
    <w:rsid w:val="615C5E6A"/>
    <w:rsid w:val="61AC7DCD"/>
    <w:rsid w:val="61AF3E33"/>
    <w:rsid w:val="61FE26C5"/>
    <w:rsid w:val="62390CB6"/>
    <w:rsid w:val="623B30C1"/>
    <w:rsid w:val="628D4323"/>
    <w:rsid w:val="632F4ED2"/>
    <w:rsid w:val="63ED3EFD"/>
    <w:rsid w:val="63FE5A0F"/>
    <w:rsid w:val="64267CB1"/>
    <w:rsid w:val="643B7DBF"/>
    <w:rsid w:val="646033D5"/>
    <w:rsid w:val="64BA10A7"/>
    <w:rsid w:val="6511265D"/>
    <w:rsid w:val="652A2B44"/>
    <w:rsid w:val="65827169"/>
    <w:rsid w:val="65AB624B"/>
    <w:rsid w:val="65C92F03"/>
    <w:rsid w:val="66C33328"/>
    <w:rsid w:val="67D04F6F"/>
    <w:rsid w:val="67E13E17"/>
    <w:rsid w:val="680B32BF"/>
    <w:rsid w:val="683D2DF7"/>
    <w:rsid w:val="68A04E37"/>
    <w:rsid w:val="68DC0114"/>
    <w:rsid w:val="69124CA8"/>
    <w:rsid w:val="6917697D"/>
    <w:rsid w:val="6931512E"/>
    <w:rsid w:val="697D624E"/>
    <w:rsid w:val="69944010"/>
    <w:rsid w:val="699E5A5F"/>
    <w:rsid w:val="69AE2C22"/>
    <w:rsid w:val="69D424D5"/>
    <w:rsid w:val="6A7D0E05"/>
    <w:rsid w:val="6AC22533"/>
    <w:rsid w:val="6AD31E30"/>
    <w:rsid w:val="6B090729"/>
    <w:rsid w:val="6B1677C8"/>
    <w:rsid w:val="6B6E412F"/>
    <w:rsid w:val="6B9C7C98"/>
    <w:rsid w:val="6BA53BB1"/>
    <w:rsid w:val="6C130BDB"/>
    <w:rsid w:val="6C21614A"/>
    <w:rsid w:val="6CAF092F"/>
    <w:rsid w:val="6CCE79D9"/>
    <w:rsid w:val="6D016666"/>
    <w:rsid w:val="6D197459"/>
    <w:rsid w:val="6D2172DA"/>
    <w:rsid w:val="6E3D6323"/>
    <w:rsid w:val="6E6B2034"/>
    <w:rsid w:val="6EDF0268"/>
    <w:rsid w:val="6EEE586F"/>
    <w:rsid w:val="6F3A3986"/>
    <w:rsid w:val="6FF06C92"/>
    <w:rsid w:val="6FFC7510"/>
    <w:rsid w:val="700C3CDF"/>
    <w:rsid w:val="706C7BE2"/>
    <w:rsid w:val="7082711C"/>
    <w:rsid w:val="709A00CB"/>
    <w:rsid w:val="709F5073"/>
    <w:rsid w:val="70B07280"/>
    <w:rsid w:val="712F289B"/>
    <w:rsid w:val="71621D65"/>
    <w:rsid w:val="718C6759"/>
    <w:rsid w:val="720640DE"/>
    <w:rsid w:val="721F41A5"/>
    <w:rsid w:val="72942CBE"/>
    <w:rsid w:val="72E827D6"/>
    <w:rsid w:val="74420F34"/>
    <w:rsid w:val="74634609"/>
    <w:rsid w:val="7484619F"/>
    <w:rsid w:val="74D516B9"/>
    <w:rsid w:val="74F53273"/>
    <w:rsid w:val="75093403"/>
    <w:rsid w:val="75837A17"/>
    <w:rsid w:val="75A629FF"/>
    <w:rsid w:val="75B410CE"/>
    <w:rsid w:val="762D3121"/>
    <w:rsid w:val="769A6A08"/>
    <w:rsid w:val="76CA4E14"/>
    <w:rsid w:val="76EA40E5"/>
    <w:rsid w:val="773A43A6"/>
    <w:rsid w:val="779437BB"/>
    <w:rsid w:val="77951E62"/>
    <w:rsid w:val="779821C1"/>
    <w:rsid w:val="779942B7"/>
    <w:rsid w:val="782B0837"/>
    <w:rsid w:val="78763002"/>
    <w:rsid w:val="78994A9D"/>
    <w:rsid w:val="79317E37"/>
    <w:rsid w:val="79B2086A"/>
    <w:rsid w:val="79FD4A60"/>
    <w:rsid w:val="7A2860D9"/>
    <w:rsid w:val="7A46546C"/>
    <w:rsid w:val="7A5672B5"/>
    <w:rsid w:val="7AB5465D"/>
    <w:rsid w:val="7AED1D3E"/>
    <w:rsid w:val="7AFC2853"/>
    <w:rsid w:val="7B0B3302"/>
    <w:rsid w:val="7B1824C2"/>
    <w:rsid w:val="7B334F2B"/>
    <w:rsid w:val="7B446F42"/>
    <w:rsid w:val="7B5F5404"/>
    <w:rsid w:val="7B8E744C"/>
    <w:rsid w:val="7C286EE2"/>
    <w:rsid w:val="7C425B83"/>
    <w:rsid w:val="7C640B20"/>
    <w:rsid w:val="7D2F3A6C"/>
    <w:rsid w:val="7D983576"/>
    <w:rsid w:val="7DF64C65"/>
    <w:rsid w:val="7E002EC9"/>
    <w:rsid w:val="7E0B5A63"/>
    <w:rsid w:val="7E1B25DC"/>
    <w:rsid w:val="7E7B5877"/>
    <w:rsid w:val="7E8A55B4"/>
    <w:rsid w:val="7EED4FEF"/>
    <w:rsid w:val="7F115EF1"/>
    <w:rsid w:val="7F2552DD"/>
    <w:rsid w:val="7F55391D"/>
    <w:rsid w:val="7F8B38CC"/>
    <w:rsid w:val="7FC527AC"/>
    <w:rsid w:val="7FCF6FF7"/>
    <w:rsid w:val="7FFE5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306929"/>
  <w15:docId w15:val="{2536D931-C491-425A-9B13-3CF6F690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uiPriority="99" w:unhideWhenUsed="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ind w:firstLineChars="200" w:firstLine="640"/>
      <w:jc w:val="both"/>
    </w:pPr>
    <w:rPr>
      <w:rFonts w:eastAsia="仿宋_GB2312" w:cs="宋体"/>
      <w:kern w:val="2"/>
      <w:sz w:val="32"/>
      <w:szCs w:val="22"/>
    </w:rPr>
  </w:style>
  <w:style w:type="paragraph" w:styleId="1">
    <w:name w:val="heading 1"/>
    <w:basedOn w:val="a"/>
    <w:next w:val="a"/>
    <w:autoRedefine/>
    <w:qFormat/>
    <w:pPr>
      <w:keepNext/>
      <w:keepLines/>
      <w:spacing w:before="340" w:after="90"/>
      <w:ind w:firstLineChars="0" w:firstLine="0"/>
      <w:outlineLvl w:val="0"/>
    </w:pPr>
    <w:rPr>
      <w:rFonts w:eastAsia="黑体"/>
      <w:kern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autoRedefine/>
    <w:qFormat/>
    <w:pPr>
      <w:ind w:firstLineChars="0" w:firstLine="420"/>
    </w:pPr>
    <w:rPr>
      <w:rFonts w:eastAsia="宋体"/>
      <w:kern w:val="0"/>
      <w:sz w:val="20"/>
      <w:szCs w:val="21"/>
    </w:rPr>
  </w:style>
  <w:style w:type="paragraph" w:styleId="a5">
    <w:name w:val="annotation text"/>
    <w:basedOn w:val="a"/>
    <w:link w:val="a6"/>
    <w:autoRedefine/>
    <w:qFormat/>
    <w:pPr>
      <w:jc w:val="left"/>
    </w:pPr>
  </w:style>
  <w:style w:type="paragraph" w:styleId="a7">
    <w:name w:val="Body Text"/>
    <w:basedOn w:val="a"/>
    <w:link w:val="a8"/>
    <w:autoRedefine/>
    <w:uiPriority w:val="99"/>
    <w:unhideWhenUsed/>
    <w:qFormat/>
    <w:pPr>
      <w:spacing w:after="120"/>
      <w:ind w:firstLineChars="0" w:firstLine="0"/>
    </w:pPr>
    <w:rPr>
      <w:rFonts w:ascii="Calibri" w:eastAsia="宋体" w:hAnsi="Calibri"/>
      <w:sz w:val="21"/>
    </w:rPr>
  </w:style>
  <w:style w:type="paragraph" w:styleId="a9">
    <w:name w:val="Body Text Indent"/>
    <w:basedOn w:val="a"/>
    <w:next w:val="2"/>
    <w:autoRedefine/>
    <w:qFormat/>
    <w:pPr>
      <w:ind w:right="1281" w:firstLine="570"/>
    </w:pPr>
    <w:rPr>
      <w:sz w:val="28"/>
    </w:rPr>
  </w:style>
  <w:style w:type="paragraph" w:styleId="2">
    <w:name w:val="Body Text First Indent 2"/>
    <w:basedOn w:val="a9"/>
    <w:next w:val="a"/>
    <w:autoRedefine/>
    <w:qFormat/>
    <w:pPr>
      <w:adjustRightInd w:val="0"/>
      <w:spacing w:after="120" w:line="312" w:lineRule="atLeast"/>
      <w:ind w:leftChars="200" w:left="420" w:right="0" w:firstLine="420"/>
      <w:textAlignment w:val="baseline"/>
    </w:pPr>
    <w:rPr>
      <w:kern w:val="0"/>
      <w:sz w:val="21"/>
    </w:rPr>
  </w:style>
  <w:style w:type="paragraph" w:styleId="aa">
    <w:name w:val="Balloon Text"/>
    <w:basedOn w:val="a"/>
    <w:link w:val="ab"/>
    <w:autoRedefine/>
    <w:qFormat/>
    <w:rPr>
      <w:sz w:val="18"/>
      <w:szCs w:val="18"/>
    </w:rPr>
  </w:style>
  <w:style w:type="paragraph" w:styleId="ac">
    <w:name w:val="footer"/>
    <w:basedOn w:val="a"/>
    <w:autoRedefine/>
    <w:qFormat/>
    <w:pPr>
      <w:tabs>
        <w:tab w:val="center" w:pos="4153"/>
        <w:tab w:val="right" w:pos="8306"/>
      </w:tabs>
      <w:snapToGrid w:val="0"/>
      <w:jc w:val="left"/>
    </w:pPr>
    <w:rPr>
      <w:sz w:val="18"/>
    </w:rPr>
  </w:style>
  <w:style w:type="paragraph" w:styleId="ad">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autoRedefine/>
    <w:qFormat/>
    <w:pPr>
      <w:tabs>
        <w:tab w:val="right" w:leader="dot" w:pos="8306"/>
      </w:tabs>
      <w:ind w:firstLineChars="0" w:firstLine="0"/>
    </w:pPr>
    <w:rPr>
      <w:rFonts w:eastAsia="微软雅黑" w:cs="微软雅黑"/>
      <w:snapToGrid w:val="0"/>
      <w:spacing w:val="-2"/>
      <w:kern w:val="0"/>
      <w:szCs w:val="28"/>
    </w:rPr>
  </w:style>
  <w:style w:type="paragraph" w:styleId="ae">
    <w:name w:val="Subtitle"/>
    <w:basedOn w:val="a"/>
    <w:next w:val="a"/>
    <w:link w:val="af"/>
    <w:autoRedefine/>
    <w:qFormat/>
    <w:pPr>
      <w:spacing w:before="240" w:after="60" w:line="312" w:lineRule="atLeast"/>
      <w:jc w:val="center"/>
      <w:outlineLvl w:val="1"/>
    </w:pPr>
    <w:rPr>
      <w:rFonts w:asciiTheme="minorHAnsi" w:eastAsiaTheme="minorEastAsia" w:hAnsiTheme="minorHAnsi"/>
      <w:b/>
      <w:bCs/>
      <w:kern w:val="28"/>
      <w:szCs w:val="32"/>
    </w:rPr>
  </w:style>
  <w:style w:type="paragraph" w:styleId="TOC2">
    <w:name w:val="toc 2"/>
    <w:basedOn w:val="a"/>
    <w:next w:val="a"/>
    <w:autoRedefine/>
    <w:qFormat/>
    <w:rPr>
      <w:rFonts w:eastAsia="楷体"/>
      <w:sz w:val="30"/>
    </w:rPr>
  </w:style>
  <w:style w:type="paragraph" w:styleId="af0">
    <w:name w:val="Normal (Web)"/>
    <w:basedOn w:val="a"/>
    <w:qFormat/>
    <w:pPr>
      <w:spacing w:beforeAutospacing="1" w:afterAutospacing="1"/>
      <w:jc w:val="left"/>
    </w:pPr>
    <w:rPr>
      <w:rFonts w:cs="Times New Roman"/>
      <w:kern w:val="0"/>
      <w:sz w:val="24"/>
    </w:rPr>
  </w:style>
  <w:style w:type="paragraph" w:styleId="af1">
    <w:name w:val="annotation subject"/>
    <w:basedOn w:val="a5"/>
    <w:next w:val="a5"/>
    <w:link w:val="af2"/>
    <w:autoRedefine/>
    <w:qFormat/>
    <w:rPr>
      <w:b/>
      <w:bCs/>
    </w:rPr>
  </w:style>
  <w:style w:type="character" w:styleId="af3">
    <w:name w:val="annotation reference"/>
    <w:basedOn w:val="a0"/>
    <w:autoRedefine/>
    <w:qFormat/>
    <w:rPr>
      <w:sz w:val="21"/>
      <w:szCs w:val="21"/>
    </w:rPr>
  </w:style>
  <w:style w:type="paragraph" w:customStyle="1" w:styleId="BodyText">
    <w:name w:val="BodyText"/>
    <w:basedOn w:val="a"/>
    <w:qFormat/>
    <w:pPr>
      <w:spacing w:after="120"/>
      <w:textAlignment w:val="baseline"/>
    </w:pPr>
  </w:style>
  <w:style w:type="character" w:customStyle="1" w:styleId="a6">
    <w:name w:val="批注文字 字符"/>
    <w:basedOn w:val="a0"/>
    <w:link w:val="a5"/>
    <w:autoRedefine/>
    <w:qFormat/>
    <w:rPr>
      <w:rFonts w:ascii="Times New Roman" w:eastAsia="仿宋_GB2312" w:hAnsi="Times New Roman"/>
      <w:kern w:val="2"/>
      <w:sz w:val="28"/>
      <w:szCs w:val="24"/>
    </w:rPr>
  </w:style>
  <w:style w:type="character" w:customStyle="1" w:styleId="af2">
    <w:name w:val="批注主题 字符"/>
    <w:basedOn w:val="a6"/>
    <w:link w:val="af1"/>
    <w:autoRedefine/>
    <w:qFormat/>
    <w:rPr>
      <w:rFonts w:ascii="Times New Roman" w:eastAsia="仿宋_GB2312" w:hAnsi="Times New Roman"/>
      <w:b/>
      <w:bCs/>
      <w:kern w:val="2"/>
      <w:sz w:val="28"/>
      <w:szCs w:val="24"/>
    </w:rPr>
  </w:style>
  <w:style w:type="character" w:customStyle="1" w:styleId="ab">
    <w:name w:val="批注框文本 字符"/>
    <w:basedOn w:val="a0"/>
    <w:link w:val="aa"/>
    <w:autoRedefine/>
    <w:qFormat/>
    <w:rPr>
      <w:rFonts w:ascii="Times New Roman" w:eastAsia="仿宋_GB2312" w:hAnsi="Times New Roman"/>
      <w:kern w:val="2"/>
      <w:sz w:val="18"/>
      <w:szCs w:val="18"/>
    </w:rPr>
  </w:style>
  <w:style w:type="paragraph" w:customStyle="1" w:styleId="20">
    <w:name w:val="正文2"/>
    <w:link w:val="2Char"/>
    <w:autoRedefine/>
    <w:qFormat/>
    <w:pPr>
      <w:spacing w:line="360" w:lineRule="auto"/>
      <w:ind w:firstLineChars="200" w:firstLine="200"/>
      <w:jc w:val="both"/>
    </w:pPr>
    <w:rPr>
      <w:rFonts w:eastAsia="仿宋_GB2312" w:cs="宋体"/>
      <w:sz w:val="28"/>
      <w:szCs w:val="24"/>
    </w:rPr>
  </w:style>
  <w:style w:type="character" w:customStyle="1" w:styleId="2Char">
    <w:name w:val="正文2 Char"/>
    <w:link w:val="20"/>
    <w:autoRedefine/>
    <w:qFormat/>
    <w:rPr>
      <w:rFonts w:ascii="Times New Roman" w:eastAsia="仿宋_GB2312" w:hAnsi="Times New Roman" w:cs="宋体"/>
      <w:sz w:val="28"/>
      <w:szCs w:val="24"/>
    </w:rPr>
  </w:style>
  <w:style w:type="character" w:customStyle="1" w:styleId="a4">
    <w:name w:val="正文缩进 字符"/>
    <w:link w:val="a3"/>
    <w:autoRedefine/>
    <w:qFormat/>
    <w:rPr>
      <w:rFonts w:ascii="Times New Roman" w:eastAsia="宋体" w:hAnsi="Times New Roman" w:cs="宋体"/>
      <w:szCs w:val="21"/>
    </w:rPr>
  </w:style>
  <w:style w:type="character" w:customStyle="1" w:styleId="a8">
    <w:name w:val="正文文本 字符"/>
    <w:basedOn w:val="a0"/>
    <w:link w:val="a7"/>
    <w:autoRedefine/>
    <w:uiPriority w:val="99"/>
    <w:qFormat/>
    <w:rPr>
      <w:rFonts w:ascii="Calibri" w:eastAsia="宋体" w:hAnsi="Calibri" w:cs="宋体"/>
      <w:kern w:val="2"/>
      <w:sz w:val="21"/>
      <w:szCs w:val="22"/>
    </w:rPr>
  </w:style>
  <w:style w:type="paragraph" w:customStyle="1" w:styleId="af4">
    <w:name w:val="图表"/>
    <w:next w:val="a"/>
    <w:link w:val="af5"/>
    <w:autoRedefine/>
    <w:qFormat/>
    <w:pPr>
      <w:jc w:val="center"/>
    </w:pPr>
    <w:rPr>
      <w:rFonts w:eastAsia="仿宋" w:cstheme="minorBidi"/>
      <w:b/>
      <w:kern w:val="2"/>
      <w:sz w:val="28"/>
      <w:szCs w:val="24"/>
    </w:rPr>
  </w:style>
  <w:style w:type="paragraph" w:customStyle="1" w:styleId="af6">
    <w:name w:val="二级标题（一）"/>
    <w:basedOn w:val="a"/>
    <w:link w:val="af7"/>
    <w:autoRedefine/>
    <w:qFormat/>
    <w:pPr>
      <w:tabs>
        <w:tab w:val="left" w:pos="2694"/>
      </w:tabs>
      <w:outlineLvl w:val="1"/>
    </w:pPr>
    <w:rPr>
      <w:rFonts w:ascii="楷体" w:eastAsia="楷体" w:hAnsi="楷体"/>
    </w:rPr>
  </w:style>
  <w:style w:type="character" w:customStyle="1" w:styleId="af8">
    <w:name w:val="正文 字符"/>
    <w:autoRedefine/>
    <w:qFormat/>
    <w:rPr>
      <w:rFonts w:ascii="Times New Roman" w:eastAsia="仿宋" w:hAnsi="Times New Roman" w:cs="宋体"/>
      <w:kern w:val="2"/>
      <w:sz w:val="32"/>
      <w:szCs w:val="22"/>
      <w:highlight w:val="none"/>
      <w:lang w:val="en-US" w:eastAsia="zh-CN" w:bidi="ar-SA"/>
    </w:rPr>
  </w:style>
  <w:style w:type="character" w:customStyle="1" w:styleId="af5">
    <w:name w:val="图表 字符"/>
    <w:basedOn w:val="af8"/>
    <w:link w:val="af4"/>
    <w:autoRedefine/>
    <w:qFormat/>
    <w:rPr>
      <w:rFonts w:ascii="Times New Roman" w:eastAsia="仿宋" w:hAnsi="Times New Roman" w:cs="宋体"/>
      <w:b/>
      <w:kern w:val="2"/>
      <w:sz w:val="28"/>
      <w:szCs w:val="24"/>
      <w:highlight w:val="none"/>
      <w:lang w:val="en-US" w:eastAsia="zh-CN" w:bidi="ar-SA"/>
    </w:rPr>
  </w:style>
  <w:style w:type="character" w:customStyle="1" w:styleId="af7">
    <w:name w:val="二级标题（一） 字符"/>
    <w:basedOn w:val="a0"/>
    <w:link w:val="af6"/>
    <w:autoRedefine/>
    <w:qFormat/>
    <w:rPr>
      <w:rFonts w:ascii="楷体" w:eastAsia="楷体" w:hAnsi="楷体" w:cs="宋体"/>
      <w:kern w:val="2"/>
      <w:sz w:val="32"/>
      <w:szCs w:val="22"/>
    </w:rPr>
  </w:style>
  <w:style w:type="character" w:customStyle="1" w:styleId="af">
    <w:name w:val="副标题 字符"/>
    <w:basedOn w:val="a0"/>
    <w:link w:val="ae"/>
    <w:autoRedefine/>
    <w:qFormat/>
    <w:rPr>
      <w:b/>
      <w:bCs/>
      <w:kern w:val="28"/>
      <w:sz w:val="32"/>
      <w:szCs w:val="32"/>
    </w:rPr>
  </w:style>
  <w:style w:type="paragraph" w:customStyle="1" w:styleId="WPSOffice1">
    <w:name w:val="WPSOffice手动目录 1"/>
    <w:autoRedefine/>
    <w:qFormat/>
  </w:style>
  <w:style w:type="paragraph" w:customStyle="1" w:styleId="WPSOffice2">
    <w:name w:val="WPSOffice手动目录 2"/>
    <w:autoRedefine/>
    <w:qFormat/>
    <w:pPr>
      <w:ind w:leftChars="200" w:left="200"/>
    </w:pPr>
  </w:style>
  <w:style w:type="paragraph" w:customStyle="1" w:styleId="af9">
    <w:name w:val="标准文件_段"/>
    <w:autoRedefine/>
    <w:qFormat/>
    <w:pPr>
      <w:autoSpaceDE w:val="0"/>
      <w:autoSpaceDN w:val="0"/>
      <w:ind w:firstLineChars="200" w:firstLine="200"/>
      <w:jc w:val="both"/>
    </w:pPr>
    <w:rPr>
      <w:rFonts w:ascii="宋体"/>
      <w:sz w:val="21"/>
    </w:rPr>
  </w:style>
  <w:style w:type="paragraph" w:customStyle="1" w:styleId="10">
    <w:name w:val="修订1"/>
    <w:hidden/>
    <w:uiPriority w:val="99"/>
    <w:unhideWhenUsed/>
    <w:qFormat/>
    <w:rPr>
      <w:rFonts w:eastAsia="仿宋" w:cs="宋体"/>
      <w:kern w:val="2"/>
      <w:sz w:val="32"/>
      <w:szCs w:val="22"/>
    </w:rPr>
  </w:style>
  <w:style w:type="paragraph" w:customStyle="1" w:styleId="afa">
    <w:name w:val="正文文字"/>
    <w:basedOn w:val="a"/>
    <w:qFormat/>
    <w:pPr>
      <w:ind w:firstLine="600"/>
    </w:pPr>
    <w:rPr>
      <w:rFonts w:cs="Times New Roman"/>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footer" Target="footer6.xml"/><Relationship Id="rId39" Type="http://schemas.openxmlformats.org/officeDocument/2006/relationships/image" Target="media/image17.png"/><Relationship Id="rId21" Type="http://schemas.openxmlformats.org/officeDocument/2006/relationships/image" Target="media/image6.png"/><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image" Target="media/image1.png"/><Relationship Id="rId29" Type="http://schemas.openxmlformats.org/officeDocument/2006/relationships/footer" Target="footer8.xml"/><Relationship Id="rId11" Type="http://schemas.openxmlformats.org/officeDocument/2006/relationships/footer" Target="footer1.xml"/><Relationship Id="rId24" Type="http://schemas.openxmlformats.org/officeDocument/2006/relationships/chart" Target="charts/chart1.xml"/><Relationship Id="rId32" Type="http://schemas.openxmlformats.org/officeDocument/2006/relationships/footer" Target="footer10.xm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footer" Target="footer9.xml"/><Relationship Id="rId44" Type="http://schemas.openxmlformats.org/officeDocument/2006/relationships/image" Target="media/image22.png"/><Relationship Id="rId52" Type="http://schemas.openxmlformats.org/officeDocument/2006/relationships/image" Target="media/image3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8" Type="http://schemas.openxmlformats.org/officeDocument/2006/relationships/footnotes" Target="footnotes.xml"/><Relationship Id="rId51" Type="http://schemas.openxmlformats.org/officeDocument/2006/relationships/image" Target="media/image29.png"/><Relationship Id="rId3" Type="http://schemas.openxmlformats.org/officeDocument/2006/relationships/customXml" Target="../customXml/item2.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footer" Target="footer5.xm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20" Type="http://schemas.openxmlformats.org/officeDocument/2006/relationships/image" Target="media/image5.png"/><Relationship Id="rId41" Type="http://schemas.openxmlformats.org/officeDocument/2006/relationships/image" Target="media/image19.png"/><Relationship Id="rId54"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footer" Target="footer7.xml"/><Relationship Id="rId36" Type="http://schemas.openxmlformats.org/officeDocument/2006/relationships/image" Target="media/image14.png"/><Relationship Id="rId49" Type="http://schemas.openxmlformats.org/officeDocument/2006/relationships/image" Target="media/image2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[工作簿1]Sheet1!$A$2</c:f>
              <c:strCache>
                <c:ptCount val="1"/>
                <c:pt idx="0">
                  <c:v>辐射量</c:v>
                </c:pt>
              </c:strCache>
            </c:strRef>
          </c:tx>
          <c:spPr>
            <a:ln w="19050" cap="rnd">
              <a:solidFill>
                <a:srgbClr val="4472C4"/>
              </a:solidFill>
              <a:round/>
            </a:ln>
            <a:effectLst/>
          </c:spPr>
          <c:marker>
            <c:symbol val="circle"/>
            <c:size val="5"/>
            <c:spPr>
              <a:solidFill>
                <a:srgbClr val="4472C4"/>
              </a:solidFill>
              <a:ln w="9525">
                <a:solidFill>
                  <a:srgbClr val="4472C4"/>
                </a:solidFill>
              </a:ln>
              <a:effectLst/>
            </c:spPr>
          </c:marker>
          <c:xVal>
            <c:numRef>
              <c:f>[工作簿1]Sheet1!$B$1:$M$1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xVal>
          <c:yVal>
            <c:numRef>
              <c:f>[工作簿1]Sheet1!$B$2:$M$2</c:f>
              <c:numCache>
                <c:formatCode>General</c:formatCode>
                <c:ptCount val="12"/>
                <c:pt idx="0">
                  <c:v>280</c:v>
                </c:pt>
                <c:pt idx="1">
                  <c:v>353</c:v>
                </c:pt>
                <c:pt idx="2">
                  <c:v>523</c:v>
                </c:pt>
                <c:pt idx="3">
                  <c:v>596</c:v>
                </c:pt>
                <c:pt idx="4">
                  <c:v>666</c:v>
                </c:pt>
                <c:pt idx="5">
                  <c:v>641</c:v>
                </c:pt>
                <c:pt idx="6">
                  <c:v>631</c:v>
                </c:pt>
                <c:pt idx="7">
                  <c:v>599</c:v>
                </c:pt>
                <c:pt idx="8">
                  <c:v>501</c:v>
                </c:pt>
                <c:pt idx="9">
                  <c:v>398</c:v>
                </c:pt>
                <c:pt idx="10">
                  <c:v>264</c:v>
                </c:pt>
                <c:pt idx="11">
                  <c:v>238</c:v>
                </c:pt>
              </c:numCache>
            </c:numRef>
          </c:yVal>
          <c:smooth val="1"/>
          <c:extLst>
            <c:ext xmlns:c16="http://schemas.microsoft.com/office/drawing/2014/chart" uri="{C3380CC4-5D6E-409C-BE32-E72D297353CC}">
              <c16:uniqueId val="{00000000-D270-4231-B65C-4632084B02F3}"/>
            </c:ext>
          </c:extLst>
        </c:ser>
        <c:dLbls>
          <c:showLegendKey val="0"/>
          <c:showVal val="0"/>
          <c:showCatName val="0"/>
          <c:showSerName val="0"/>
          <c:showPercent val="0"/>
          <c:showBubbleSize val="0"/>
        </c:dLbls>
        <c:axId val="459047106"/>
        <c:axId val="247469377"/>
      </c:scatterChart>
      <c:valAx>
        <c:axId val="459047106"/>
        <c:scaling>
          <c:orientation val="minMax"/>
          <c:max val="12"/>
        </c:scaling>
        <c:delete val="0"/>
        <c:axPos val="b"/>
        <c:majorGridlines>
          <c:spPr>
            <a:ln w="9525" cap="flat" cmpd="sng" algn="ctr">
              <a:solidFill>
                <a:sysClr val="windowText" lastClr="000000">
                  <a:lumMod val="15000"/>
                  <a:lumOff val="85000"/>
                </a:sysClr>
              </a:solidFill>
              <a:round/>
            </a:ln>
            <a:effectLst/>
          </c:spPr>
        </c:majorGridlines>
        <c:numFmt formatCode="General" sourceLinked="1"/>
        <c:majorTickMark val="out"/>
        <c:minorTickMark val="none"/>
        <c:tickLblPos val="nextTo"/>
        <c:spPr>
          <a:noFill/>
          <a:ln w="9525" cap="flat" cmpd="sng" algn="ctr">
            <a:solidFill>
              <a:sysClr val="windowText" lastClr="000000">
                <a:lumMod val="25000"/>
                <a:lumOff val="75000"/>
              </a:sysClr>
            </a:solidFill>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endParaRPr lang="zh-CN"/>
          </a:p>
        </c:txPr>
        <c:crossAx val="247469377"/>
        <c:crosses val="autoZero"/>
        <c:crossBetween val="midCat"/>
      </c:valAx>
      <c:valAx>
        <c:axId val="247469377"/>
        <c:scaling>
          <c:orientation val="minMax"/>
        </c:scaling>
        <c:delete val="0"/>
        <c:axPos val="l"/>
        <c:majorGridlines>
          <c:spPr>
            <a:ln w="9525" cap="flat" cmpd="sng" algn="ctr">
              <a:solidFill>
                <a:sysClr val="windowText" lastClr="000000">
                  <a:lumMod val="15000"/>
                  <a:lumOff val="85000"/>
                </a:sysClr>
              </a:solidFill>
              <a:round/>
            </a:ln>
            <a:effectLst/>
          </c:spPr>
        </c:majorGridlines>
        <c:numFmt formatCode="General" sourceLinked="1"/>
        <c:majorTickMark val="out"/>
        <c:minorTickMark val="none"/>
        <c:tickLblPos val="nextTo"/>
        <c:spPr>
          <a:noFill/>
          <a:ln w="9525" cap="flat" cmpd="sng" algn="ctr">
            <a:solidFill>
              <a:sysClr val="windowText" lastClr="000000">
                <a:lumMod val="25000"/>
                <a:lumOff val="75000"/>
              </a:sysClr>
            </a:solidFill>
            <a:round/>
          </a:ln>
          <a:effectLst/>
        </c:spPr>
        <c:txPr>
          <a:bodyPr rot="-6000000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endParaRPr lang="zh-CN"/>
          </a:p>
        </c:txPr>
        <c:crossAx val="459047106"/>
        <c:crossesAt val="0"/>
        <c:crossBetween val="midCat"/>
      </c:valAx>
      <c:spPr>
        <a:noFill/>
        <a:ln>
          <a:noFill/>
        </a:ln>
        <a:effectLst/>
      </c:spPr>
    </c:plotArea>
    <c:plotVisOnly val="1"/>
    <c:dispBlanksAs val="gap"/>
    <c:showDLblsOverMax val="0"/>
    <c:extLst>
      <c:ext uri="{0b15fc19-7d7d-44ad-8c2d-2c3a37ce22c3}">
        <chartProps xmlns="https://web.wps.cn/et/2018/main" chartId="{f733e419-e9a6-42c9-a755-9aac7d95be61}"/>
      </c:ext>
    </c:extLst>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25000"/>
            <a:lumOff val="7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1000" kern="1200"/>
  </cs:chartArea>
  <cs:dataLabel>
    <cs:lnRef idx="0"/>
    <cs:fillRef idx="0"/>
    <cs:effectRef idx="0"/>
    <cs:fontRef idx="minor">
      <a:sysClr val="windowText" lastClr="000000">
        <a:lumMod val="75000"/>
        <a:lumOff val="25000"/>
      </a:sysClr>
    </cs:fontRef>
    <cs:defRPr sz="9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ysClr val="windowText" lastClr="000000"/>
    </cs:fontRef>
  </cs:dataPoint>
  <cs:dataPoint3D>
    <cs:lnRef idx="0"/>
    <cs:fillRef idx="1">
      <cs:styleClr val="auto"/>
    </cs:fillRef>
    <cs:effectRef idx="0"/>
    <cs:fontRef idx="minor">
      <a:sysClr val="windowText" lastClr="000000"/>
    </cs:fontRef>
  </cs:dataPoint3D>
  <cs:dataPointLine>
    <cs:lnRef idx="0">
      <cs:styleClr val="auto"/>
    </cs:lnRef>
    <cs:fillRef idx="1"/>
    <cs:effectRef idx="0"/>
    <cs:fontRef idx="minor">
      <a:sysClr val="windowText" lastClr="000000"/>
    </cs:fontRef>
    <cs:spPr>
      <a:ln w="19050"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0"/>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Text" lastClr="000000">
            <a:lumMod val="15000"/>
            <a:lumOff val="850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65000"/>
        <a:lumOff val="35000"/>
      </a:sysClr>
    </cs:fontRef>
    <cs:defRPr sz="1400" b="0" kern="1200" spc="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spPr>
      <a:ln w="9525" cap="flat" cmpd="sng" algn="ctr">
        <a:solidFill>
          <a:sysClr val="windowText" lastClr="000000">
            <a:lumMod val="25000"/>
            <a:lumOff val="75000"/>
          </a:sysClr>
        </a:solidFill>
        <a:round/>
      </a:ln>
    </cs:spPr>
    <cs:defRPr sz="900" kern="1200"/>
  </cs:valueAxis>
  <cs:wall>
    <cs:lnRef idx="0"/>
    <cs:fillRef idx="0"/>
    <cs:effectRef idx="0"/>
    <cs:fontRef idx="minor">
      <a:sysClr val="windowText" lastClr="000000"/>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01BE8FE-66DA-44A5-86E9-533A9C9679C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75</Pages>
  <Words>4572</Words>
  <Characters>26065</Characters>
  <Application>Microsoft Office Word</Application>
  <DocSecurity>0</DocSecurity>
  <Lines>217</Lines>
  <Paragraphs>61</Paragraphs>
  <ScaleCrop>false</ScaleCrop>
  <Company/>
  <LinksUpToDate>false</LinksUpToDate>
  <CharactersWithSpaces>30576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朱子钊</dc:creator>
  <cp:lastModifiedBy>书涛</cp:lastModifiedBy>
  <cp:revision>11</cp:revision>
  <cp:lastPrinted>2024-05-22T07:04:00Z</cp:lastPrinted>
  <dcterms:created xsi:type="dcterms:W3CDTF">2024-05-14T11:25:00Z</dcterms:created>
  <dcterms:modified xsi:type="dcterms:W3CDTF">2026-07-23T08:53:00Z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78C8EB39C60140C0A04C0E6933DEE00A_13</vt:lpwstr>
  </property>
  <property fmtid="{D5CDD505-2E9C-101B-9397-08002B2CF9AE}" pid="4" name="KSOTemplateDocerSaveRecord">
    <vt:lpwstr>eyJoZGlkIjoiZjQwYjllNzYxYWM1MWQyMzdiY2RkZjhmNzFmN2U2YzAiLCJ1c2VySWQiOiIxMTcyMzUxMTA1In0=</vt:lpwstr>
  </property>
</Properties>
</file>